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8C79" w14:textId="7863C65C" w:rsidR="00BD0DCB" w:rsidRPr="00450F3B" w:rsidRDefault="00450F3B" w:rsidP="005A4AA4">
      <w:pPr>
        <w:pBdr>
          <w:top w:val="single" w:sz="4" w:space="1" w:color="auto"/>
          <w:left w:val="single" w:sz="4" w:space="4" w:color="auto"/>
          <w:bottom w:val="single" w:sz="4" w:space="1" w:color="auto"/>
          <w:right w:val="single" w:sz="4" w:space="4" w:color="auto"/>
        </w:pBdr>
        <w:jc w:val="center"/>
        <w:rPr>
          <w:b/>
          <w:bCs/>
        </w:rPr>
      </w:pPr>
      <w:r w:rsidRPr="00450F3B">
        <w:rPr>
          <w:b/>
          <w:bCs/>
        </w:rPr>
        <w:t>Toelichtende nota controle staatssteun infrastructuurforfait meerderjarigen</w:t>
      </w:r>
      <w:r w:rsidR="00C901F8">
        <w:rPr>
          <w:b/>
          <w:bCs/>
        </w:rPr>
        <w:t xml:space="preserve"> – handleiding controlefiche</w:t>
      </w:r>
    </w:p>
    <w:p w14:paraId="4F649B6D" w14:textId="015CE134" w:rsidR="00450F3B" w:rsidRDefault="00450F3B"/>
    <w:p w14:paraId="633839F1" w14:textId="457FE42B" w:rsidR="00450F3B" w:rsidRDefault="00697766">
      <w:pPr>
        <w:rPr>
          <w:b/>
          <w:bCs/>
        </w:rPr>
      </w:pPr>
      <w:r>
        <w:t>I</w:t>
      </w:r>
      <w:r w:rsidR="00450F3B">
        <w:t xml:space="preserve">) </w:t>
      </w:r>
      <w:r w:rsidR="00450F3B" w:rsidRPr="00D26695">
        <w:rPr>
          <w:b/>
          <w:bCs/>
        </w:rPr>
        <w:t xml:space="preserve">Achtergrond </w:t>
      </w:r>
      <w:r>
        <w:rPr>
          <w:b/>
          <w:bCs/>
        </w:rPr>
        <w:t>en regelgeving</w:t>
      </w:r>
    </w:p>
    <w:p w14:paraId="76B2AC5A" w14:textId="049AE3FF" w:rsidR="00BC3A30" w:rsidRDefault="00BC3A30" w:rsidP="00BC3A30">
      <w:r>
        <w:t>Voor het VIPA-infrastructuurforfait dienen de regels van de Europese staatssteun te worden nageleefd.</w:t>
      </w:r>
      <w:r w:rsidR="009F6D2B">
        <w:t xml:space="preserve"> </w:t>
      </w:r>
      <w:r>
        <w:t>Die verplichting wordt opgelegd aan alle staatssteun (ongeacht de rechtsvorm) en zit vervat in het volgende besluit van de Commissie</w:t>
      </w:r>
      <w:r w:rsidR="00F735B9">
        <w:t xml:space="preserve"> (link: </w:t>
      </w:r>
      <w:hyperlink r:id="rId11" w:history="1">
        <w:r w:rsidR="00F735B9">
          <w:rPr>
            <w:rStyle w:val="Hyperlink"/>
          </w:rPr>
          <w:t>EUR-Lex - 32012D0021 - EN - EUR-Lex (europa.eu)</w:t>
        </w:r>
      </w:hyperlink>
      <w:r w:rsidR="00621DD4">
        <w:t xml:space="preserve"> – verder: besluit Commissie</w:t>
      </w:r>
      <w:r w:rsidR="00F735B9">
        <w:t>)</w:t>
      </w:r>
      <w:r>
        <w:t>:</w:t>
      </w:r>
    </w:p>
    <w:p w14:paraId="0255F840" w14:textId="0AB11C2A" w:rsidR="00BC3A30" w:rsidRPr="00BC3A30" w:rsidRDefault="00BC3A30" w:rsidP="00BC3A30">
      <w:pPr>
        <w:rPr>
          <w:i/>
          <w:iCs/>
        </w:rPr>
      </w:pPr>
      <w:r w:rsidRPr="00BC3A30">
        <w:rPr>
          <w:i/>
          <w:iCs/>
        </w:rPr>
        <w:t xml:space="preserve">Besluit van de Commissie van 20 december 2011 betreffende de toepassing van artikel 106, lid 2, van het Verdrag betreffende de werking van de Europese Unie op staatssteun in de </w:t>
      </w:r>
      <w:r>
        <w:rPr>
          <w:i/>
          <w:iCs/>
        </w:rPr>
        <w:t>vorm</w:t>
      </w:r>
      <w:r w:rsidRPr="00BC3A30">
        <w:rPr>
          <w:i/>
          <w:iCs/>
        </w:rPr>
        <w:t xml:space="preserve"> van compensatie voor de openbare dienst, verleend aan bepaalde met het beheer van diensten van algemeen economisch belang belast</w:t>
      </w:r>
      <w:r w:rsidR="008855F9">
        <w:rPr>
          <w:i/>
          <w:iCs/>
        </w:rPr>
        <w:t>e</w:t>
      </w:r>
      <w:r w:rsidRPr="00BC3A30">
        <w:rPr>
          <w:i/>
          <w:iCs/>
        </w:rPr>
        <w:t xml:space="preserve"> ondernemingen.</w:t>
      </w:r>
    </w:p>
    <w:p w14:paraId="00B49CCE" w14:textId="1DFAD2C7" w:rsidR="00BC3A30" w:rsidRDefault="00BC3A30" w:rsidP="00BC3A30">
      <w:r>
        <w:t>Indien een subsidieregelgeving d</w:t>
      </w:r>
      <w:r w:rsidR="00D7197F">
        <w:t>ie verplichting niet opneemt</w:t>
      </w:r>
      <w:r>
        <w:t xml:space="preserve">, dan </w:t>
      </w:r>
      <w:r w:rsidR="00D7197F">
        <w:t>is zij</w:t>
      </w:r>
      <w:r>
        <w:t xml:space="preserve"> niet in overeenstemming </w:t>
      </w:r>
      <w:r w:rsidR="002F03AC">
        <w:t>met de</w:t>
      </w:r>
      <w:r w:rsidR="009722C4">
        <w:t xml:space="preserve"> Europese</w:t>
      </w:r>
      <w:r w:rsidR="002F03AC">
        <w:t xml:space="preserve"> staatssteunregels en dient het toegekende subsidiebedrag van alle begunstigden integraal te worden teruggevorderd.</w:t>
      </w:r>
    </w:p>
    <w:p w14:paraId="5C05086B" w14:textId="2E036390" w:rsidR="00C901F8" w:rsidRDefault="002F03AC" w:rsidP="002F03AC">
      <w:r>
        <w:t xml:space="preserve">In het </w:t>
      </w:r>
      <w:r w:rsidR="00C901F8">
        <w:t>BVR</w:t>
      </w:r>
      <w:r w:rsidR="00353032">
        <w:t xml:space="preserve"> (Besluit van de Vlaamse Regering)</w:t>
      </w:r>
      <w:r w:rsidR="00C901F8">
        <w:t xml:space="preserve"> tot regeling van het infrastructuurforfait binnen de persoonsvolgende financiering van 22/6/2018</w:t>
      </w:r>
      <w:r w:rsidR="004C3D1D">
        <w:t xml:space="preserve"> onder artikel 28</w:t>
      </w:r>
      <w:r w:rsidR="00C901F8">
        <w:t xml:space="preserve"> (</w:t>
      </w:r>
      <w:hyperlink r:id="rId12" w:history="1">
        <w:r w:rsidR="00C901F8">
          <w:rPr>
            <w:rStyle w:val="Hyperlink"/>
          </w:rPr>
          <w:t>Besluit van de Vlaamse Regering tot regeling van het infrastructuurforfait binnen de persoonsvolgende financiering voor personen met een handicap, verstrekt door het Vlaams Infrastructuurfonds voor Persoonsgebonden Aangelegenheden (vlaanderen.be)</w:t>
        </w:r>
      </w:hyperlink>
      <w:r w:rsidR="00C901F8">
        <w:t xml:space="preserve">)  </w:t>
      </w:r>
      <w:r>
        <w:t>werden de verplichtingen uit het Commissiebesluit overgenomen:</w:t>
      </w:r>
    </w:p>
    <w:p w14:paraId="06CD54D9" w14:textId="19A3119A" w:rsidR="00C901F8" w:rsidRPr="002F03AC" w:rsidRDefault="00A20E1C" w:rsidP="00C901F8">
      <w:pPr>
        <w:pStyle w:val="Lijstalinea"/>
        <w:numPr>
          <w:ilvl w:val="0"/>
          <w:numId w:val="1"/>
        </w:numPr>
        <w:rPr>
          <w:b/>
          <w:bCs/>
          <w:i/>
          <w:iCs/>
        </w:rPr>
      </w:pPr>
      <w:r>
        <w:rPr>
          <w:i/>
          <w:iCs/>
        </w:rPr>
        <w:t xml:space="preserve">(A) </w:t>
      </w:r>
      <w:r w:rsidR="00C901F8" w:rsidRPr="002F03AC">
        <w:rPr>
          <w:i/>
          <w:iCs/>
        </w:rPr>
        <w:t xml:space="preserve">§1: </w:t>
      </w:r>
      <w:r w:rsidR="00C901F8" w:rsidRPr="002F03AC">
        <w:rPr>
          <w:b/>
          <w:bCs/>
          <w:i/>
          <w:iCs/>
        </w:rPr>
        <w:t>Minstens om de 3 jaar</w:t>
      </w:r>
      <w:r w:rsidR="00C901F8" w:rsidRPr="002F03AC">
        <w:rPr>
          <w:i/>
          <w:iCs/>
        </w:rPr>
        <w:t xml:space="preserve"> </w:t>
      </w:r>
      <w:r w:rsidR="00024699">
        <w:rPr>
          <w:i/>
          <w:iCs/>
        </w:rPr>
        <w:t>… controleren</w:t>
      </w:r>
      <w:r w:rsidR="00C901F8" w:rsidRPr="002F03AC">
        <w:rPr>
          <w:i/>
          <w:iCs/>
        </w:rPr>
        <w:t xml:space="preserve"> het Fonds</w:t>
      </w:r>
      <w:r w:rsidR="00440BA4">
        <w:rPr>
          <w:i/>
          <w:iCs/>
        </w:rPr>
        <w:t xml:space="preserve"> of de </w:t>
      </w:r>
      <w:r w:rsidR="00C901F8" w:rsidRPr="002F03AC">
        <w:rPr>
          <w:i/>
          <w:iCs/>
        </w:rPr>
        <w:t>personen belast met toezicht de boekhouding</w:t>
      </w:r>
      <w:r w:rsidR="00440BA4">
        <w:rPr>
          <w:i/>
          <w:iCs/>
        </w:rPr>
        <w:t xml:space="preserve"> van de aanvrager</w:t>
      </w:r>
      <w:r w:rsidR="00C901F8" w:rsidRPr="002F03AC">
        <w:rPr>
          <w:i/>
          <w:iCs/>
        </w:rPr>
        <w:t xml:space="preserve">. </w:t>
      </w:r>
      <w:r w:rsidR="00BA7C92">
        <w:rPr>
          <w:i/>
          <w:iCs/>
        </w:rPr>
        <w:t>In de boekhouding van de aanvrager worden de i</w:t>
      </w:r>
      <w:r w:rsidR="00C901F8" w:rsidRPr="002F03AC">
        <w:rPr>
          <w:b/>
          <w:bCs/>
          <w:i/>
          <w:iCs/>
        </w:rPr>
        <w:t>nkomsten en kosten die verband houden met het project afgezonderd.</w:t>
      </w:r>
      <w:r w:rsidR="00543578">
        <w:rPr>
          <w:b/>
          <w:bCs/>
          <w:i/>
          <w:iCs/>
        </w:rPr>
        <w:t xml:space="preserve"> </w:t>
      </w:r>
      <w:r w:rsidR="00543578">
        <w:rPr>
          <w:i/>
          <w:iCs/>
        </w:rPr>
        <w:t xml:space="preserve">Als, rekening houdend met een </w:t>
      </w:r>
      <w:r w:rsidR="00543578" w:rsidRPr="005C7465">
        <w:rPr>
          <w:b/>
          <w:bCs/>
          <w:i/>
          <w:iCs/>
        </w:rPr>
        <w:t>redelijke winst</w:t>
      </w:r>
      <w:r w:rsidR="00543578">
        <w:rPr>
          <w:i/>
          <w:iCs/>
        </w:rPr>
        <w:t xml:space="preserve">, het totaal van de </w:t>
      </w:r>
      <w:r w:rsidR="00543578" w:rsidRPr="008A4D7A">
        <w:rPr>
          <w:b/>
          <w:bCs/>
          <w:i/>
          <w:iCs/>
        </w:rPr>
        <w:t>inkomsten</w:t>
      </w:r>
      <w:r w:rsidR="000D67FA">
        <w:rPr>
          <w:i/>
          <w:iCs/>
        </w:rPr>
        <w:t>, vermeld in het eerste lid,</w:t>
      </w:r>
      <w:r w:rsidR="001A0295">
        <w:rPr>
          <w:i/>
          <w:iCs/>
        </w:rPr>
        <w:t xml:space="preserve"> hoger is dan de </w:t>
      </w:r>
      <w:r w:rsidR="001A0295" w:rsidRPr="008A4D7A">
        <w:rPr>
          <w:b/>
          <w:bCs/>
          <w:i/>
          <w:iCs/>
        </w:rPr>
        <w:t>kosten</w:t>
      </w:r>
      <w:r w:rsidR="001A0295">
        <w:rPr>
          <w:i/>
          <w:iCs/>
        </w:rPr>
        <w:t>, vermeld in</w:t>
      </w:r>
      <w:r w:rsidR="008A4D7A">
        <w:rPr>
          <w:i/>
          <w:iCs/>
        </w:rPr>
        <w:t xml:space="preserve"> het</w:t>
      </w:r>
      <w:r w:rsidR="001A0295">
        <w:rPr>
          <w:i/>
          <w:iCs/>
        </w:rPr>
        <w:t xml:space="preserve"> eerste lid, en een </w:t>
      </w:r>
      <w:r w:rsidR="001A0295" w:rsidRPr="005C7465">
        <w:rPr>
          <w:b/>
          <w:bCs/>
          <w:i/>
          <w:iCs/>
        </w:rPr>
        <w:t>passend aandeel in de gemeenschappelijke kosten van de aanvrager</w:t>
      </w:r>
      <w:r w:rsidR="00620244">
        <w:rPr>
          <w:i/>
          <w:iCs/>
        </w:rPr>
        <w:t>, vordert het Fonds het verschil terug.</w:t>
      </w:r>
    </w:p>
    <w:p w14:paraId="0E3CAA1B" w14:textId="2AA7FCAF" w:rsidR="00C901F8" w:rsidRPr="002F03AC" w:rsidRDefault="00A20E1C" w:rsidP="00C901F8">
      <w:pPr>
        <w:pStyle w:val="Lijstalinea"/>
        <w:numPr>
          <w:ilvl w:val="0"/>
          <w:numId w:val="1"/>
        </w:numPr>
        <w:rPr>
          <w:i/>
          <w:iCs/>
        </w:rPr>
      </w:pPr>
      <w:r>
        <w:rPr>
          <w:i/>
          <w:iCs/>
        </w:rPr>
        <w:t xml:space="preserve">(B) </w:t>
      </w:r>
      <w:r w:rsidR="00C901F8" w:rsidRPr="002F03AC">
        <w:rPr>
          <w:i/>
          <w:iCs/>
        </w:rPr>
        <w:t xml:space="preserve">§2:  In deze paragraaf wordt onder ROCE de return on </w:t>
      </w:r>
      <w:proofErr w:type="spellStart"/>
      <w:r w:rsidR="00C901F8" w:rsidRPr="002F03AC">
        <w:rPr>
          <w:i/>
          <w:iCs/>
        </w:rPr>
        <w:t>capital</w:t>
      </w:r>
      <w:proofErr w:type="spellEnd"/>
      <w:r w:rsidR="00C901F8" w:rsidRPr="002F03AC">
        <w:rPr>
          <w:i/>
          <w:iCs/>
        </w:rPr>
        <w:t xml:space="preserve"> </w:t>
      </w:r>
      <w:proofErr w:type="spellStart"/>
      <w:r w:rsidR="00C901F8" w:rsidRPr="002F03AC">
        <w:rPr>
          <w:i/>
          <w:iCs/>
        </w:rPr>
        <w:t>employed</w:t>
      </w:r>
      <w:proofErr w:type="spellEnd"/>
      <w:r w:rsidR="00C901F8" w:rsidRPr="002F03AC">
        <w:rPr>
          <w:i/>
          <w:iCs/>
        </w:rPr>
        <w:t xml:space="preserve"> verstaan.</w:t>
      </w:r>
      <w:r w:rsidR="00C901F8" w:rsidRPr="002F03AC">
        <w:rPr>
          <w:i/>
          <w:iCs/>
        </w:rPr>
        <w:br/>
        <w:t xml:space="preserve">Een voorziening wordt geacht op het project een </w:t>
      </w:r>
      <w:r w:rsidR="00C901F8" w:rsidRPr="00ED04FD">
        <w:rPr>
          <w:b/>
          <w:bCs/>
          <w:i/>
          <w:iCs/>
        </w:rPr>
        <w:t>redelijke winst</w:t>
      </w:r>
      <w:r w:rsidR="00C901F8" w:rsidRPr="002F03AC">
        <w:rPr>
          <w:i/>
          <w:iCs/>
        </w:rPr>
        <w:t xml:space="preserve">, vermeld in paragraaf 1, te boeken als de </w:t>
      </w:r>
      <w:r w:rsidR="00C901F8" w:rsidRPr="002F03AC">
        <w:rPr>
          <w:b/>
          <w:bCs/>
          <w:i/>
          <w:iCs/>
        </w:rPr>
        <w:t>ROCE op het project niet hoger is dan de toelaatbare ROCE voor het project</w:t>
      </w:r>
      <w:r w:rsidR="00C901F8" w:rsidRPr="002F03AC">
        <w:rPr>
          <w:i/>
          <w:iCs/>
        </w:rPr>
        <w:t xml:space="preserve">. De toelaatbare ROCE voor het project wordt jaarlijks bepaald op basis van de toelaatbare </w:t>
      </w:r>
      <w:r w:rsidR="00C901F8" w:rsidRPr="002F03AC">
        <w:rPr>
          <w:b/>
          <w:bCs/>
          <w:i/>
          <w:iCs/>
        </w:rPr>
        <w:t>ROCE voor eigen vermogen en voor vreemd vermogen</w:t>
      </w:r>
      <w:r w:rsidR="00C901F8" w:rsidRPr="002F03AC">
        <w:rPr>
          <w:i/>
          <w:iCs/>
        </w:rPr>
        <w:t xml:space="preserve">, gewogen volgens de </w:t>
      </w:r>
      <w:r w:rsidR="00C901F8" w:rsidRPr="00A723DF">
        <w:rPr>
          <w:i/>
          <w:iCs/>
        </w:rPr>
        <w:t>verhoudingen van eigen en vreemd vermogen voor het project.</w:t>
      </w:r>
      <w:r w:rsidR="00C901F8" w:rsidRPr="00A723DF">
        <w:rPr>
          <w:i/>
          <w:iCs/>
        </w:rPr>
        <w:br/>
      </w:r>
      <w:r w:rsidR="00C901F8" w:rsidRPr="002F03AC">
        <w:rPr>
          <w:i/>
          <w:iCs/>
        </w:rPr>
        <w:t xml:space="preserve">Het Fonds bepaalt jaarlijks bij het begin van het jaar de </w:t>
      </w:r>
      <w:r w:rsidR="00C901F8" w:rsidRPr="00DA471B">
        <w:rPr>
          <w:b/>
          <w:bCs/>
          <w:i/>
          <w:iCs/>
        </w:rPr>
        <w:t>toelaatbare ROCE</w:t>
      </w:r>
      <w:r w:rsidR="00C901F8" w:rsidRPr="002F03AC">
        <w:rPr>
          <w:i/>
          <w:iCs/>
        </w:rPr>
        <w:t xml:space="preserve"> voor eigen vermogen en voor vreemd vermogen.</w:t>
      </w:r>
    </w:p>
    <w:p w14:paraId="1237DE5A" w14:textId="059911BB" w:rsidR="00CE57BF" w:rsidRDefault="00A20E1C">
      <w:r>
        <w:t>(A) D</w:t>
      </w:r>
      <w:r w:rsidR="002F03AC">
        <w:t xml:space="preserve">e controle van de staatssteun </w:t>
      </w:r>
      <w:r w:rsidR="005C1D62">
        <w:t>voor het infrastructuurforfait is gebaseerd op</w:t>
      </w:r>
      <w:r w:rsidR="002F03AC">
        <w:t xml:space="preserve"> de toetsing van de </w:t>
      </w:r>
      <w:r w:rsidR="002F03AC" w:rsidRPr="009B55E4">
        <w:rPr>
          <w:b/>
          <w:bCs/>
        </w:rPr>
        <w:t>redelijke winst</w:t>
      </w:r>
      <w:r w:rsidR="002F03AC">
        <w:t>.</w:t>
      </w:r>
      <w:r w:rsidR="003A6A22">
        <w:t xml:space="preserve"> </w:t>
      </w:r>
      <w:r w:rsidR="00403BC0">
        <w:t xml:space="preserve">Om de </w:t>
      </w:r>
      <w:r w:rsidR="00403BC0" w:rsidRPr="009B55E4">
        <w:rPr>
          <w:b/>
          <w:bCs/>
        </w:rPr>
        <w:t>3 jaar</w:t>
      </w:r>
      <w:r w:rsidR="00403BC0">
        <w:t xml:space="preserve"> dient er gecontroleerd te worden op die redelijke winst. </w:t>
      </w:r>
      <w:r w:rsidR="00231BA6">
        <w:t>Die 3 jaar</w:t>
      </w:r>
      <w:r w:rsidR="00403BC0">
        <w:t xml:space="preserve"> is dan ook de periode waar</w:t>
      </w:r>
      <w:r w:rsidR="00EC5441">
        <w:t xml:space="preserve">voor </w:t>
      </w:r>
      <w:r w:rsidR="005C1D62">
        <w:t>de input in een controlefiche</w:t>
      </w:r>
      <w:r w:rsidR="00EC5441">
        <w:t xml:space="preserve"> wordt gevraagd</w:t>
      </w:r>
      <w:r w:rsidR="00D70706">
        <w:t>.</w:t>
      </w:r>
      <w:r w:rsidR="009B55E4">
        <w:br/>
      </w:r>
      <w:r w:rsidR="002F03AC">
        <w:t xml:space="preserve">Een voorziening mag ook na de subsidiëring een redelijke winst boeken en enkel het bedrag daarboven is overcompensatie. De </w:t>
      </w:r>
      <w:r w:rsidR="002F03AC" w:rsidRPr="005D348F">
        <w:rPr>
          <w:b/>
          <w:bCs/>
        </w:rPr>
        <w:t xml:space="preserve">overcompensatie dient teruggevorderd </w:t>
      </w:r>
      <w:r w:rsidR="00831705" w:rsidRPr="005D348F">
        <w:rPr>
          <w:b/>
          <w:bCs/>
        </w:rPr>
        <w:t xml:space="preserve">te worden </w:t>
      </w:r>
      <w:r w:rsidR="002F03AC" w:rsidRPr="005D348F">
        <w:rPr>
          <w:b/>
          <w:bCs/>
        </w:rPr>
        <w:t xml:space="preserve">voor het bedrag dat de 10% van de gemiddelde </w:t>
      </w:r>
      <w:r w:rsidR="00FC12FD" w:rsidRPr="005D348F">
        <w:rPr>
          <w:b/>
          <w:bCs/>
        </w:rPr>
        <w:t>jaar</w:t>
      </w:r>
      <w:r w:rsidR="002F03AC" w:rsidRPr="005D348F">
        <w:rPr>
          <w:b/>
          <w:bCs/>
        </w:rPr>
        <w:t>compensatie</w:t>
      </w:r>
      <w:r w:rsidR="00CE57BF">
        <w:rPr>
          <w:b/>
          <w:bCs/>
        </w:rPr>
        <w:t xml:space="preserve"> </w:t>
      </w:r>
      <w:r w:rsidR="00B27F3C" w:rsidRPr="005D348F">
        <w:rPr>
          <w:b/>
          <w:bCs/>
        </w:rPr>
        <w:t xml:space="preserve"> </w:t>
      </w:r>
      <w:r w:rsidR="002F03AC" w:rsidRPr="005D348F">
        <w:rPr>
          <w:b/>
          <w:bCs/>
        </w:rPr>
        <w:t>overschrijdt</w:t>
      </w:r>
      <w:r w:rsidR="002F03AC">
        <w:t>.</w:t>
      </w:r>
      <w:r w:rsidR="00F972D8" w:rsidRPr="00F972D8">
        <w:rPr>
          <w:i/>
          <w:iCs/>
          <w:color w:val="FF0000"/>
          <w:lang w:eastAsia="nl-BE"/>
        </w:rPr>
        <w:t xml:space="preserve"> </w:t>
      </w:r>
      <w:r w:rsidR="00F972D8" w:rsidRPr="00F972D8">
        <w:t>Wanneer het bedrag van de overcompensatie niet meer dan 10 % van het bedrag van de gemiddelde jaarcompensatie bedraagt, mag deze overcompensatie naar de volgende periode</w:t>
      </w:r>
      <w:r w:rsidR="009B55E4">
        <w:t xml:space="preserve"> van 3 jaar</w:t>
      </w:r>
      <w:r w:rsidR="007169A2">
        <w:t xml:space="preserve"> </w:t>
      </w:r>
      <w:r w:rsidR="00F972D8" w:rsidRPr="00F972D8">
        <w:t xml:space="preserve">worden overgedragen en op het </w:t>
      </w:r>
      <w:r w:rsidR="00F972D8" w:rsidRPr="00F972D8">
        <w:lastRenderedPageBreak/>
        <w:t>voor die periode te betalen compensatiebedrag in mindering worden gebracht</w:t>
      </w:r>
      <w:r w:rsidR="00621DD4">
        <w:t xml:space="preserve"> (zie verder Besluit Commissie, artikel 6 – </w:t>
      </w:r>
      <w:r w:rsidR="00A549A1">
        <w:t>2</w:t>
      </w:r>
      <w:r w:rsidR="00A549A1" w:rsidRPr="00A549A1">
        <w:rPr>
          <w:vertAlign w:val="superscript"/>
        </w:rPr>
        <w:t>e</w:t>
      </w:r>
      <w:r w:rsidR="00A549A1">
        <w:t xml:space="preserve"> lid</w:t>
      </w:r>
      <w:r w:rsidR="00621DD4">
        <w:t>)</w:t>
      </w:r>
      <w:r w:rsidR="00F972D8" w:rsidRPr="00F972D8">
        <w:t>.</w:t>
      </w:r>
      <w:r w:rsidR="00965E6B">
        <w:t xml:space="preserve"> </w:t>
      </w:r>
      <w:r w:rsidR="002F03AC">
        <w:t xml:space="preserve"> </w:t>
      </w:r>
    </w:p>
    <w:p w14:paraId="0A6D81E3" w14:textId="49DF2FC1" w:rsidR="00C901F8" w:rsidRDefault="00A73FB5">
      <w:r>
        <w:t>Voor de terugvordering</w:t>
      </w:r>
      <w:r w:rsidR="001A2640">
        <w:t xml:space="preserve"> kan er tot 10 jaar teruggegaan worden in de tijd.</w:t>
      </w:r>
    </w:p>
    <w:p w14:paraId="2974D1D9" w14:textId="7FF47B96" w:rsidR="005C4EE7" w:rsidRDefault="00D70706">
      <w:r>
        <w:t xml:space="preserve">(B) </w:t>
      </w:r>
      <w:r w:rsidR="002F03AC">
        <w:t>Een voorziening wordt geacht een redelijke winst te boeken als (1) de</w:t>
      </w:r>
      <w:r w:rsidR="008E6B87">
        <w:t xml:space="preserve"> </w:t>
      </w:r>
      <w:r w:rsidR="008E6B87" w:rsidRPr="008E6B87">
        <w:rPr>
          <w:b/>
          <w:bCs/>
        </w:rPr>
        <w:t xml:space="preserve">effectieve </w:t>
      </w:r>
      <w:r w:rsidR="002F03AC" w:rsidRPr="008E6B87">
        <w:rPr>
          <w:b/>
          <w:bCs/>
        </w:rPr>
        <w:t xml:space="preserve"> ROCE</w:t>
      </w:r>
      <w:r w:rsidR="002F03AC">
        <w:t xml:space="preserve"> op het project niet hoger is dan (2) de </w:t>
      </w:r>
      <w:r w:rsidR="002F03AC" w:rsidRPr="008E6B87">
        <w:rPr>
          <w:b/>
          <w:bCs/>
        </w:rPr>
        <w:t>toelaatbare ROCE</w:t>
      </w:r>
      <w:r w:rsidR="002F03AC">
        <w:t xml:space="preserve"> voor het project. </w:t>
      </w:r>
      <w:r>
        <w:br/>
      </w:r>
      <w:r w:rsidR="002F03AC">
        <w:t xml:space="preserve">De </w:t>
      </w:r>
      <w:r w:rsidR="002F03AC" w:rsidRPr="008E6B87">
        <w:rPr>
          <w:b/>
          <w:bCs/>
        </w:rPr>
        <w:t>toelaatbare ROCE</w:t>
      </w:r>
      <w:r w:rsidR="002C4D0B" w:rsidRPr="008E6B87">
        <w:rPr>
          <w:b/>
          <w:bCs/>
        </w:rPr>
        <w:t xml:space="preserve"> (2)</w:t>
      </w:r>
      <w:r w:rsidR="002F03AC">
        <w:t xml:space="preserve"> van het project kan op basis van voor het VIPA beschikbare gegevens</w:t>
      </w:r>
      <w:r w:rsidR="00D26695">
        <w:t xml:space="preserve"> uit de jaarrekening</w:t>
      </w:r>
      <w:r w:rsidR="002F03AC">
        <w:t xml:space="preserve"> worden </w:t>
      </w:r>
      <w:r w:rsidR="00B32B49">
        <w:t>geh</w:t>
      </w:r>
      <w:r w:rsidR="002F03AC">
        <w:t>aald.</w:t>
      </w:r>
      <w:r w:rsidR="003E3502">
        <w:t xml:space="preserve"> Er wordt in de regelgeving een jaarlijkse herziening voorzien maar in de praktijk zal de ROCE vanaf de ingebruikname constant blijven.</w:t>
      </w:r>
      <w:r w:rsidR="002F03AC">
        <w:t xml:space="preserve"> </w:t>
      </w:r>
      <w:r w:rsidR="00D26695">
        <w:t xml:space="preserve">Voor de </w:t>
      </w:r>
      <w:r w:rsidR="00D26695" w:rsidRPr="008E6B87">
        <w:rPr>
          <w:b/>
          <w:bCs/>
        </w:rPr>
        <w:t>effectieve ROCE</w:t>
      </w:r>
      <w:r w:rsidR="008E6B87">
        <w:rPr>
          <w:b/>
          <w:bCs/>
        </w:rPr>
        <w:t xml:space="preserve"> (1)</w:t>
      </w:r>
      <w:r w:rsidR="00D26695">
        <w:t xml:space="preserve"> van het project zal ook rekening gehouden worden met de gebruikersbijdrage voor infrastructuur, waarvoor een beroep gedaan wordt op gegevens van de voorziening.</w:t>
      </w:r>
      <w:r>
        <w:br/>
      </w:r>
      <w:r w:rsidR="005C4EE7">
        <w:t xml:space="preserve">Het berekeningsmechanisme voor de ROCE werd in </w:t>
      </w:r>
      <w:r w:rsidR="005C4CEA">
        <w:t>de</w:t>
      </w:r>
      <w:r w:rsidR="005C4EE7">
        <w:t xml:space="preserve"> controlefiche gegoten.</w:t>
      </w:r>
    </w:p>
    <w:p w14:paraId="4C862ED8" w14:textId="3E449E70" w:rsidR="00697766" w:rsidRDefault="00697766">
      <w:r>
        <w:t>Verder in deze nota worden aan de hand van een voorbeeld de verschillende onderdelen van d</w:t>
      </w:r>
      <w:r w:rsidR="005C4CEA">
        <w:t>i</w:t>
      </w:r>
      <w:r>
        <w:t>e controlefiche toegelicht.</w:t>
      </w:r>
      <w:r w:rsidR="00832EDF">
        <w:t xml:space="preserve"> Hierbij wordt telkens vermeld welke input wordt verwacht van u als subsidiebegunstigde.</w:t>
      </w:r>
      <w:r>
        <w:t xml:space="preserve"> Voor de berekening wordt ook een pragmatische invalshoek gekozen </w:t>
      </w:r>
      <w:r w:rsidR="005C4CEA">
        <w:t>in functie van een haalbare</w:t>
      </w:r>
      <w:r>
        <w:t xml:space="preserve"> gegevensaanlevering.</w:t>
      </w:r>
    </w:p>
    <w:p w14:paraId="5572A627" w14:textId="68C26CF0" w:rsidR="00697766" w:rsidRPr="00DE2294" w:rsidRDefault="00697766">
      <w:pPr>
        <w:rPr>
          <w:b/>
          <w:bCs/>
        </w:rPr>
      </w:pPr>
      <w:r>
        <w:t xml:space="preserve">II) </w:t>
      </w:r>
      <w:r w:rsidRPr="00DE2294">
        <w:rPr>
          <w:b/>
          <w:bCs/>
        </w:rPr>
        <w:t>Controlefiche: stap voor stap</w:t>
      </w:r>
      <w:r w:rsidR="00FC019B">
        <w:rPr>
          <w:b/>
          <w:bCs/>
        </w:rPr>
        <w:t>: zie</w:t>
      </w:r>
      <w:r w:rsidR="00AD30E0">
        <w:rPr>
          <w:b/>
          <w:bCs/>
        </w:rPr>
        <w:t xml:space="preserve"> ook </w:t>
      </w:r>
      <w:proofErr w:type="spellStart"/>
      <w:r w:rsidR="00AD30E0">
        <w:rPr>
          <w:b/>
          <w:bCs/>
        </w:rPr>
        <w:t>excel</w:t>
      </w:r>
      <w:proofErr w:type="spellEnd"/>
      <w:r w:rsidR="00AD30E0">
        <w:rPr>
          <w:b/>
          <w:bCs/>
        </w:rPr>
        <w:t xml:space="preserve"> -</w:t>
      </w:r>
      <w:r w:rsidR="00FC019B">
        <w:rPr>
          <w:b/>
          <w:bCs/>
        </w:rPr>
        <w:t xml:space="preserve"> tabblad “fiche”</w:t>
      </w:r>
    </w:p>
    <w:p w14:paraId="3FAA03EF" w14:textId="31B3DD7D" w:rsidR="00697766" w:rsidRPr="00EB0AA9" w:rsidRDefault="00DE2294">
      <w:r w:rsidRPr="00EB0AA9">
        <w:t>A</w:t>
      </w:r>
      <w:r w:rsidR="00697766" w:rsidRPr="00EB0AA9">
        <w:t xml:space="preserve">) </w:t>
      </w:r>
      <w:r w:rsidR="00697766" w:rsidRPr="00EB0AA9">
        <w:rPr>
          <w:b/>
          <w:bCs/>
        </w:rPr>
        <w:t xml:space="preserve">Scope </w:t>
      </w:r>
    </w:p>
    <w:p w14:paraId="7F8D1518" w14:textId="508353C1" w:rsidR="00697766" w:rsidRDefault="00697766">
      <w:r w:rsidRPr="00697766">
        <w:t>Voorafgaand is het van b</w:t>
      </w:r>
      <w:r>
        <w:t>elang om de scope van de controle duidelijk af te bakenen:</w:t>
      </w:r>
    </w:p>
    <w:p w14:paraId="607BB2C6" w14:textId="1B84C9F2" w:rsidR="00464CAC" w:rsidRDefault="00697766" w:rsidP="00697766">
      <w:pPr>
        <w:pStyle w:val="Lijstalinea"/>
        <w:numPr>
          <w:ilvl w:val="0"/>
          <w:numId w:val="1"/>
        </w:numPr>
      </w:pPr>
      <w:r>
        <w:t xml:space="preserve">Het voorwerp is het investeringsproject dat met het </w:t>
      </w:r>
      <w:r w:rsidRPr="00E0543D">
        <w:rPr>
          <w:b/>
          <w:bCs/>
        </w:rPr>
        <w:t>VIPA</w:t>
      </w:r>
      <w:r w:rsidR="00E0543D" w:rsidRPr="00E0543D">
        <w:rPr>
          <w:b/>
          <w:bCs/>
        </w:rPr>
        <w:t>-</w:t>
      </w:r>
      <w:r w:rsidR="00E0543D">
        <w:rPr>
          <w:b/>
          <w:bCs/>
        </w:rPr>
        <w:t>infrastructuur</w:t>
      </w:r>
      <w:r w:rsidR="00E0543D" w:rsidRPr="00E0543D">
        <w:rPr>
          <w:b/>
          <w:bCs/>
        </w:rPr>
        <w:t>forfait</w:t>
      </w:r>
      <w:r w:rsidR="00E0543D">
        <w:rPr>
          <w:b/>
          <w:bCs/>
        </w:rPr>
        <w:t xml:space="preserve"> conform het BVR 22/6/2018</w:t>
      </w:r>
      <w:r w:rsidR="00E0543D" w:rsidRPr="00E0543D">
        <w:rPr>
          <w:b/>
          <w:bCs/>
        </w:rPr>
        <w:t xml:space="preserve"> wordt gesubsidieerd</w:t>
      </w:r>
      <w:r w:rsidR="00E0543D">
        <w:t xml:space="preserve">. In de fiche zal dan onder basisinfo door het VIPA steeds het dossiernummer </w:t>
      </w:r>
      <w:r w:rsidR="007077D6">
        <w:t xml:space="preserve">van dit VIPA-forfait-dossier </w:t>
      </w:r>
      <w:r w:rsidR="00E0543D">
        <w:t xml:space="preserve">worden vermeld. </w:t>
      </w:r>
      <w:r w:rsidR="00464CAC">
        <w:t>Dit heeft tot gevolg dat:</w:t>
      </w:r>
    </w:p>
    <w:p w14:paraId="41180DC1" w14:textId="1C4633C8" w:rsidR="00697766" w:rsidRDefault="00B51008" w:rsidP="00464CAC">
      <w:pPr>
        <w:pStyle w:val="Lijstalinea"/>
        <w:numPr>
          <w:ilvl w:val="1"/>
          <w:numId w:val="1"/>
        </w:numPr>
      </w:pPr>
      <w:r>
        <w:t>d</w:t>
      </w:r>
      <w:r w:rsidR="00E0543D">
        <w:t xml:space="preserve">eze controle </w:t>
      </w:r>
      <w:r w:rsidR="00E0543D" w:rsidRPr="00C55479">
        <w:rPr>
          <w:b/>
          <w:bCs/>
        </w:rPr>
        <w:t>geen betrekking</w:t>
      </w:r>
      <w:r w:rsidR="00464CAC">
        <w:t xml:space="preserve"> heeft</w:t>
      </w:r>
      <w:r w:rsidR="00E0543D">
        <w:t xml:space="preserve"> op investeringsprojecten onder de </w:t>
      </w:r>
      <w:r w:rsidR="00E0543D" w:rsidRPr="00C55479">
        <w:rPr>
          <w:b/>
          <w:bCs/>
        </w:rPr>
        <w:t>klassieke subsidiëring of de vroegere alternatieve financiering</w:t>
      </w:r>
      <w:r w:rsidR="00AD30E0">
        <w:t>;</w:t>
      </w:r>
    </w:p>
    <w:p w14:paraId="2956F8D4" w14:textId="1E1147F8" w:rsidR="00464CAC" w:rsidRDefault="00B51008" w:rsidP="00464CAC">
      <w:pPr>
        <w:pStyle w:val="Lijstalinea"/>
        <w:numPr>
          <w:ilvl w:val="1"/>
          <w:numId w:val="1"/>
        </w:numPr>
      </w:pPr>
      <w:r>
        <w:t>w</w:t>
      </w:r>
      <w:r w:rsidR="00464CAC">
        <w:t xml:space="preserve">anneer de investering </w:t>
      </w:r>
      <w:r w:rsidR="00464CAC" w:rsidRPr="008056F9">
        <w:rPr>
          <w:b/>
          <w:bCs/>
        </w:rPr>
        <w:t xml:space="preserve">deels </w:t>
      </w:r>
      <w:r w:rsidR="00E5308F">
        <w:rPr>
          <w:b/>
          <w:bCs/>
        </w:rPr>
        <w:t xml:space="preserve">betrekking heeft op capaciteit die </w:t>
      </w:r>
      <w:r w:rsidR="00472EF5">
        <w:rPr>
          <w:b/>
          <w:bCs/>
        </w:rPr>
        <w:t>onder</w:t>
      </w:r>
      <w:r w:rsidR="00464CAC" w:rsidRPr="008056F9">
        <w:rPr>
          <w:b/>
          <w:bCs/>
        </w:rPr>
        <w:t xml:space="preserve"> een andere subsidie</w:t>
      </w:r>
      <w:r w:rsidR="00464CAC">
        <w:t xml:space="preserve"> </w:t>
      </w:r>
      <w:r w:rsidR="00472EF5">
        <w:t>valt</w:t>
      </w:r>
      <w:r w:rsidR="00464CAC" w:rsidRPr="00464CAC">
        <w:t>,</w:t>
      </w:r>
      <w:r w:rsidR="00464CAC">
        <w:t xml:space="preserve"> </w:t>
      </w:r>
      <w:r w:rsidR="00464CAC" w:rsidRPr="008056F9">
        <w:rPr>
          <w:b/>
          <w:bCs/>
        </w:rPr>
        <w:t xml:space="preserve">enkel </w:t>
      </w:r>
      <w:r w:rsidR="00540F58" w:rsidRPr="008056F9">
        <w:rPr>
          <w:b/>
          <w:bCs/>
        </w:rPr>
        <w:t xml:space="preserve">het </w:t>
      </w:r>
      <w:r w:rsidR="00601890" w:rsidRPr="008056F9">
        <w:rPr>
          <w:b/>
          <w:bCs/>
        </w:rPr>
        <w:t xml:space="preserve">met </w:t>
      </w:r>
      <w:r w:rsidR="00756913">
        <w:rPr>
          <w:b/>
          <w:bCs/>
        </w:rPr>
        <w:t xml:space="preserve">het </w:t>
      </w:r>
      <w:r w:rsidR="00601890" w:rsidRPr="001235AB">
        <w:rPr>
          <w:b/>
          <w:bCs/>
          <w:u w:val="single"/>
        </w:rPr>
        <w:t>forfait</w:t>
      </w:r>
      <w:r w:rsidR="00601890" w:rsidRPr="008056F9">
        <w:rPr>
          <w:b/>
          <w:bCs/>
        </w:rPr>
        <w:t xml:space="preserve"> gesubsidieerde deel </w:t>
      </w:r>
      <w:r w:rsidR="00540F58" w:rsidRPr="008056F9">
        <w:rPr>
          <w:b/>
          <w:bCs/>
        </w:rPr>
        <w:t>van de investeringskost</w:t>
      </w:r>
      <w:r w:rsidR="00540F58">
        <w:t xml:space="preserve"> </w:t>
      </w:r>
      <w:r w:rsidR="00464CAC">
        <w:t xml:space="preserve"> wordt opgenomen. </w:t>
      </w:r>
      <w:r w:rsidR="00CA2370">
        <w:t xml:space="preserve">Indien </w:t>
      </w:r>
      <w:proofErr w:type="spellStart"/>
      <w:r w:rsidR="00CA2370">
        <w:t>bvb</w:t>
      </w:r>
      <w:proofErr w:type="spellEnd"/>
      <w:r w:rsidR="00CA2370">
        <w:t xml:space="preserve">. een </w:t>
      </w:r>
      <w:r w:rsidR="001235AB">
        <w:t>deel</w:t>
      </w:r>
      <w:r w:rsidR="00CA2370">
        <w:t xml:space="preserve"> van het investeringsproject met klassieke subsidies wordt gedekt</w:t>
      </w:r>
      <w:r w:rsidR="00782F10">
        <w:t xml:space="preserve">, </w:t>
      </w:r>
      <w:r w:rsidR="001235AB">
        <w:t xml:space="preserve">dan mag </w:t>
      </w:r>
      <w:r w:rsidR="00782F10">
        <w:t>dit deel van de investeringskost niet worden opgenomen.</w:t>
      </w:r>
      <w:r w:rsidR="00782F10">
        <w:br/>
      </w:r>
      <w:r w:rsidR="00464CAC">
        <w:t>Normaliter stelt er zich geen probleem om dit af te lijnen gezien</w:t>
      </w:r>
      <w:r w:rsidR="00601890">
        <w:t xml:space="preserve"> administratief ook steeds afzonderlijke dossiers worden opgesteld</w:t>
      </w:r>
      <w:r w:rsidR="00782F10">
        <w:t xml:space="preserve"> voor de verschillende subsidiemaatregelen</w:t>
      </w:r>
      <w:r w:rsidR="00601890">
        <w:t xml:space="preserve"> en finaal </w:t>
      </w:r>
      <w:r w:rsidR="008056F9">
        <w:t>het forfaitgerechtigde deel van</w:t>
      </w:r>
      <w:r w:rsidR="00601890">
        <w:t xml:space="preserve"> </w:t>
      </w:r>
      <w:r w:rsidR="00A67BB1">
        <w:t xml:space="preserve">de </w:t>
      </w:r>
      <w:r w:rsidR="00601890">
        <w:t>investeringskost</w:t>
      </w:r>
      <w:r w:rsidR="00464CAC">
        <w:t xml:space="preserve"> ook voor de eindevaluatie</w:t>
      </w:r>
      <w:r w:rsidR="00BE15CE">
        <w:t xml:space="preserve"> van deze subsidie</w:t>
      </w:r>
      <w:r w:rsidR="00464CAC">
        <w:t xml:space="preserve"> dient </w:t>
      </w:r>
      <w:r w:rsidR="00601890">
        <w:t>gerapporteerd te worden</w:t>
      </w:r>
      <w:r w:rsidR="00BE15CE">
        <w:t xml:space="preserve"> (zie</w:t>
      </w:r>
      <w:r w:rsidR="003D7C32">
        <w:t xml:space="preserve"> </w:t>
      </w:r>
      <w:hyperlink r:id="rId13" w:anchor="2-infrastructuurforfait" w:history="1">
        <w:r w:rsidR="00BD365D" w:rsidRPr="003C41CC">
          <w:rPr>
            <w:rStyle w:val="Hyperlink"/>
          </w:rPr>
          <w:t>https://www.departementwvg.be/vipa-personen-met-een-handicap-subsidies#2-infrastructuurforfait</w:t>
        </w:r>
      </w:hyperlink>
      <w:r w:rsidR="00BD365D">
        <w:t>)</w:t>
      </w:r>
      <w:r w:rsidR="00464CAC">
        <w:t>.</w:t>
      </w:r>
    </w:p>
    <w:p w14:paraId="5C2AAF02" w14:textId="77777777" w:rsidR="007077D6" w:rsidRDefault="007077D6" w:rsidP="007077D6">
      <w:pPr>
        <w:pStyle w:val="Lijstalinea"/>
        <w:ind w:left="1800"/>
      </w:pPr>
    </w:p>
    <w:p w14:paraId="3E7A8795" w14:textId="77777777" w:rsidR="00BD365D" w:rsidRDefault="00B34A8D" w:rsidP="00B34A8D">
      <w:pPr>
        <w:pStyle w:val="Lijstalinea"/>
        <w:numPr>
          <w:ilvl w:val="0"/>
          <w:numId w:val="1"/>
        </w:numPr>
      </w:pPr>
      <w:r>
        <w:t xml:space="preserve">Gezien het VIPA enkel het </w:t>
      </w:r>
      <w:r w:rsidRPr="00BF737A">
        <w:rPr>
          <w:b/>
          <w:bCs/>
        </w:rPr>
        <w:t>gebruik van de infrastructuur</w:t>
      </w:r>
      <w:r>
        <w:t xml:space="preserve"> financiert beperkt dit ook de scope van de inhoud van kosten en opbrengsten tot</w:t>
      </w:r>
      <w:r w:rsidR="00BD365D">
        <w:t>:</w:t>
      </w:r>
    </w:p>
    <w:p w14:paraId="6ED83190" w14:textId="27FFE11C" w:rsidR="00BD365D" w:rsidRDefault="00B34A8D" w:rsidP="00BD365D">
      <w:pPr>
        <w:pStyle w:val="Lijstalinea"/>
        <w:numPr>
          <w:ilvl w:val="1"/>
          <w:numId w:val="1"/>
        </w:numPr>
      </w:pPr>
      <w:r>
        <w:t xml:space="preserve"> de </w:t>
      </w:r>
      <w:r w:rsidRPr="008A7DE0">
        <w:rPr>
          <w:b/>
          <w:bCs/>
        </w:rPr>
        <w:t>pure afschrijvingen</w:t>
      </w:r>
      <w:r w:rsidR="00FB65F1">
        <w:rPr>
          <w:b/>
          <w:bCs/>
        </w:rPr>
        <w:t>, intrest</w:t>
      </w:r>
      <w:r w:rsidR="00BA0BDF">
        <w:rPr>
          <w:b/>
          <w:bCs/>
        </w:rPr>
        <w:t xml:space="preserve"> op leningen, </w:t>
      </w:r>
      <w:r w:rsidRPr="008A7DE0">
        <w:rPr>
          <w:b/>
          <w:bCs/>
        </w:rPr>
        <w:t>huur</w:t>
      </w:r>
      <w:r w:rsidR="00BA0BDF">
        <w:rPr>
          <w:b/>
          <w:bCs/>
        </w:rPr>
        <w:t>, erfpacht op grond of deel patrimoniumtaks</w:t>
      </w:r>
      <w:r>
        <w:t xml:space="preserve"> aan de </w:t>
      </w:r>
      <w:r w:rsidRPr="00BD365D">
        <w:rPr>
          <w:b/>
          <w:bCs/>
          <w:u w:val="single"/>
        </w:rPr>
        <w:t>kostenzijde</w:t>
      </w:r>
      <w:r w:rsidR="00BD365D">
        <w:rPr>
          <w:b/>
          <w:bCs/>
        </w:rPr>
        <w:t xml:space="preserve">. </w:t>
      </w:r>
      <w:r w:rsidR="00BD365D">
        <w:t xml:space="preserve">De intrest wordt evenwel niet expliciet </w:t>
      </w:r>
      <w:r w:rsidR="00BF737A">
        <w:t xml:space="preserve">als </w:t>
      </w:r>
      <w:r w:rsidR="00BD365D">
        <w:t xml:space="preserve">kost </w:t>
      </w:r>
      <w:r w:rsidR="00BF737A">
        <w:t xml:space="preserve">in de controlefiche </w:t>
      </w:r>
      <w:r w:rsidR="00BD365D">
        <w:t>opgenomen maar zit vervat in de toegelaten financieringskost</w:t>
      </w:r>
      <w:r w:rsidR="00107088">
        <w:t xml:space="preserve"> </w:t>
      </w:r>
      <w:r w:rsidR="005D225B">
        <w:t>(of ROCE)</w:t>
      </w:r>
    </w:p>
    <w:p w14:paraId="357DA9F7" w14:textId="4DDF10FD" w:rsidR="00ED1207" w:rsidRDefault="00B34A8D" w:rsidP="00BD365D">
      <w:pPr>
        <w:pStyle w:val="Lijstalinea"/>
        <w:numPr>
          <w:ilvl w:val="1"/>
          <w:numId w:val="1"/>
        </w:numPr>
      </w:pPr>
      <w:r>
        <w:lastRenderedPageBreak/>
        <w:t>het aandeel</w:t>
      </w:r>
      <w:r w:rsidR="008A7DE0">
        <w:t xml:space="preserve"> van </w:t>
      </w:r>
      <w:r w:rsidR="008A7DE0" w:rsidRPr="00165571">
        <w:rPr>
          <w:b/>
          <w:bCs/>
        </w:rPr>
        <w:t>voornoemde componenten</w:t>
      </w:r>
      <w:r w:rsidR="00B54D76" w:rsidRPr="00165571">
        <w:rPr>
          <w:b/>
          <w:bCs/>
        </w:rPr>
        <w:t xml:space="preserve"> (</w:t>
      </w:r>
      <w:r w:rsidR="005D225B">
        <w:rPr>
          <w:b/>
          <w:bCs/>
        </w:rPr>
        <w:t xml:space="preserve">hier wel </w:t>
      </w:r>
      <w:r w:rsidR="00B54D76" w:rsidRPr="00165571">
        <w:rPr>
          <w:b/>
          <w:bCs/>
        </w:rPr>
        <w:t>incl</w:t>
      </w:r>
      <w:r w:rsidR="00BD365D">
        <w:rPr>
          <w:b/>
          <w:bCs/>
        </w:rPr>
        <w:t>usief</w:t>
      </w:r>
      <w:r w:rsidR="00B54D76" w:rsidRPr="00165571">
        <w:rPr>
          <w:b/>
          <w:bCs/>
        </w:rPr>
        <w:t xml:space="preserve"> intrest)</w:t>
      </w:r>
      <w:r w:rsidRPr="00165571">
        <w:rPr>
          <w:b/>
          <w:bCs/>
        </w:rPr>
        <w:t xml:space="preserve"> in de gebruikersbijdrage</w:t>
      </w:r>
      <w:r>
        <w:t xml:space="preserve"> aan de </w:t>
      </w:r>
      <w:r w:rsidRPr="00BD365D">
        <w:rPr>
          <w:b/>
          <w:bCs/>
          <w:u w:val="single"/>
        </w:rPr>
        <w:t>opbrengstenzijde</w:t>
      </w:r>
      <w:r>
        <w:t>.</w:t>
      </w:r>
      <w:r w:rsidR="007D0C57">
        <w:t xml:space="preserve"> </w:t>
      </w:r>
      <w:r w:rsidR="00D36B2F">
        <w:br/>
      </w:r>
    </w:p>
    <w:p w14:paraId="3465D97E" w14:textId="7F29DBFC" w:rsidR="00CB20AC" w:rsidRDefault="007D0C57" w:rsidP="00B34A8D">
      <w:pPr>
        <w:pStyle w:val="Lijstalinea"/>
        <w:numPr>
          <w:ilvl w:val="0"/>
          <w:numId w:val="1"/>
        </w:numPr>
      </w:pPr>
      <w:r>
        <w:t xml:space="preserve">Hoewel </w:t>
      </w:r>
      <w:r w:rsidR="00484A3C" w:rsidRPr="00ED1207">
        <w:rPr>
          <w:b/>
          <w:bCs/>
        </w:rPr>
        <w:t xml:space="preserve">onderhoudskosten </w:t>
      </w:r>
      <w:r w:rsidR="000F7C8E">
        <w:t>ook in verband kunnen worden</w:t>
      </w:r>
      <w:r w:rsidR="00ED1207">
        <w:t xml:space="preserve"> </w:t>
      </w:r>
      <w:r w:rsidR="000F7C8E">
        <w:t>gebracht</w:t>
      </w:r>
      <w:r w:rsidR="00484A3C">
        <w:t xml:space="preserve"> met het infrastructuurproject worden die hieruit </w:t>
      </w:r>
      <w:r w:rsidR="00484A3C" w:rsidRPr="00D61336">
        <w:rPr>
          <w:b/>
          <w:bCs/>
        </w:rPr>
        <w:t>weggelaten</w:t>
      </w:r>
      <w:r w:rsidR="00484A3C">
        <w:t xml:space="preserve">. </w:t>
      </w:r>
      <w:r w:rsidR="00CD4FF3">
        <w:t xml:space="preserve">Enerzijds komen </w:t>
      </w:r>
      <w:r w:rsidR="00BD365D">
        <w:t>zij</w:t>
      </w:r>
      <w:r w:rsidR="00CD4FF3">
        <w:t xml:space="preserve"> aan de opbrengsten</w:t>
      </w:r>
      <w:r w:rsidR="001F574A">
        <w:t xml:space="preserve"> (gebruikersbijdrage)</w:t>
      </w:r>
      <w:r w:rsidR="00CD4FF3">
        <w:t xml:space="preserve">- en kostenzijde voor en anderzijds </w:t>
      </w:r>
      <w:r w:rsidR="00D56158">
        <w:t xml:space="preserve">evolueren de opbrengsten en </w:t>
      </w:r>
      <w:r w:rsidR="007709FB">
        <w:t>onderhouds</w:t>
      </w:r>
      <w:r w:rsidR="00D56158">
        <w:t>kosten niet in tandem wat tot een grillig resultaat kan leiden.</w:t>
      </w:r>
      <w:r w:rsidR="00ED1207">
        <w:t xml:space="preserve"> </w:t>
      </w:r>
      <w:r w:rsidR="00BD365D">
        <w:t xml:space="preserve">Vandaar wordt ervoor geopteerd de vaste bijdrage uit de gebruikersbijdrage weg te laten </w:t>
      </w:r>
      <w:r w:rsidR="001A255E">
        <w:t xml:space="preserve">maar </w:t>
      </w:r>
      <w:r w:rsidR="000F207F">
        <w:t xml:space="preserve">waarbij </w:t>
      </w:r>
      <w:r w:rsidR="001A255E">
        <w:t>tezelfdertijd</w:t>
      </w:r>
      <w:r w:rsidR="00BD365D">
        <w:t xml:space="preserve"> ook de wijzigende onderhoudskosten aan de kostenzijde worden weggelaten.</w:t>
      </w:r>
      <w:r w:rsidR="009A1497">
        <w:t xml:space="preserve"> Hierdoor worden sprongen in de redelijke winst vermeden.</w:t>
      </w:r>
    </w:p>
    <w:p w14:paraId="687F9E5C" w14:textId="77777777" w:rsidR="00CB20AC" w:rsidRDefault="00CB20AC" w:rsidP="00CB20AC">
      <w:pPr>
        <w:pStyle w:val="Lijstalinea"/>
        <w:ind w:left="1080"/>
      </w:pPr>
    </w:p>
    <w:p w14:paraId="4D1BDC09" w14:textId="4255969B" w:rsidR="00B34A8D" w:rsidRDefault="00BD365D" w:rsidP="00B34A8D">
      <w:pPr>
        <w:pStyle w:val="Lijstalinea"/>
        <w:numPr>
          <w:ilvl w:val="0"/>
          <w:numId w:val="1"/>
        </w:numPr>
      </w:pPr>
      <w:r>
        <w:t xml:space="preserve">De </w:t>
      </w:r>
      <w:r w:rsidRPr="00CB20AC">
        <w:rPr>
          <w:b/>
          <w:bCs/>
        </w:rPr>
        <w:t>gemeenschappelijke kosten</w:t>
      </w:r>
      <w:r>
        <w:t xml:space="preserve"> kunnen wel afzonderlijk worden opgenomen in zoverre dat de vergoeding hiervoor ook in de gebruikersbijdrage blijft.</w:t>
      </w:r>
    </w:p>
    <w:p w14:paraId="5879279D" w14:textId="77777777" w:rsidR="008056F9" w:rsidRDefault="008056F9" w:rsidP="008056F9">
      <w:pPr>
        <w:pStyle w:val="Lijstalinea"/>
        <w:ind w:left="1080"/>
      </w:pPr>
    </w:p>
    <w:p w14:paraId="7CAE412A" w14:textId="4092BC4D" w:rsidR="00B56B46" w:rsidRPr="00892890" w:rsidRDefault="00E0543D" w:rsidP="00D1160C">
      <w:pPr>
        <w:pStyle w:val="Lijstalinea"/>
        <w:numPr>
          <w:ilvl w:val="0"/>
          <w:numId w:val="1"/>
        </w:numPr>
        <w:rPr>
          <w:b/>
          <w:bCs/>
        </w:rPr>
      </w:pPr>
      <w:r>
        <w:t xml:space="preserve">Per fiche worden telkens </w:t>
      </w:r>
      <w:r w:rsidRPr="00094946">
        <w:rPr>
          <w:b/>
          <w:bCs/>
        </w:rPr>
        <w:t>3</w:t>
      </w:r>
      <w:r w:rsidR="00072AF5" w:rsidRPr="00094946">
        <w:rPr>
          <w:b/>
          <w:bCs/>
        </w:rPr>
        <w:t xml:space="preserve"> afgesloten</w:t>
      </w:r>
      <w:r w:rsidRPr="00094946">
        <w:rPr>
          <w:b/>
          <w:bCs/>
        </w:rPr>
        <w:t xml:space="preserve"> boekjaren gecontroleerd (BVR artikel 28 §1)</w:t>
      </w:r>
      <w:r>
        <w:t xml:space="preserve">. </w:t>
      </w:r>
      <w:r w:rsidR="0088064E">
        <w:t>Normaliter kan een lager aantal</w:t>
      </w:r>
      <w:r w:rsidR="008D7B47">
        <w:t xml:space="preserve"> boekjaren</w:t>
      </w:r>
      <w:r w:rsidR="0088064E">
        <w:t xml:space="preserve"> ook gezien </w:t>
      </w:r>
      <w:r w:rsidR="001702D5">
        <w:t>in het besluit</w:t>
      </w:r>
      <w:r w:rsidR="00797C38">
        <w:t xml:space="preserve"> voor de frequentie van de controle</w:t>
      </w:r>
      <w:r w:rsidR="0088064E">
        <w:t xml:space="preserve"> “minstens om de drie jaar” staat vermeld. </w:t>
      </w:r>
      <w:r w:rsidR="003B76A9">
        <w:t xml:space="preserve">Voor een goede opvolging zal </w:t>
      </w:r>
      <w:r w:rsidR="00892890">
        <w:t xml:space="preserve">de controle pas plaats vinden als er een nieuwe </w:t>
      </w:r>
      <w:proofErr w:type="spellStart"/>
      <w:r w:rsidR="00892890">
        <w:t>driejaarsperiode</w:t>
      </w:r>
      <w:proofErr w:type="spellEnd"/>
      <w:r w:rsidR="004C0C83">
        <w:t xml:space="preserve"> (zonder overlapping met de vorige)</w:t>
      </w:r>
      <w:r w:rsidR="00892890">
        <w:t xml:space="preserve"> kan worden geanalyseerd.</w:t>
      </w:r>
    </w:p>
    <w:p w14:paraId="004D9A37" w14:textId="77777777" w:rsidR="00892890" w:rsidRPr="00892890" w:rsidRDefault="00892890" w:rsidP="00892890">
      <w:pPr>
        <w:pStyle w:val="Lijstalinea"/>
        <w:rPr>
          <w:b/>
          <w:bCs/>
        </w:rPr>
      </w:pPr>
    </w:p>
    <w:p w14:paraId="1FF47BB0" w14:textId="77777777" w:rsidR="00247B45" w:rsidRDefault="004C0C83" w:rsidP="00892890">
      <w:pPr>
        <w:pStyle w:val="Lijstalinea"/>
        <w:ind w:left="1080"/>
      </w:pPr>
      <w:r>
        <w:t xml:space="preserve">Een voorziening die voor de eerste keer in </w:t>
      </w:r>
      <w:r w:rsidR="00247B45">
        <w:t>2020</w:t>
      </w:r>
      <w:r>
        <w:t xml:space="preserve"> werd betaald</w:t>
      </w:r>
      <w:r w:rsidR="003642E1">
        <w:t>, zal voor de eerste keer in 20</w:t>
      </w:r>
      <w:r w:rsidR="00247B45">
        <w:t>23</w:t>
      </w:r>
      <w:r w:rsidR="003642E1">
        <w:t xml:space="preserve"> een controlefiche voor de periode </w:t>
      </w:r>
      <w:r w:rsidR="00247B45">
        <w:t>2020-2022</w:t>
      </w:r>
      <w:r w:rsidR="003642E1">
        <w:t xml:space="preserve"> dienen in te vullen.</w:t>
      </w:r>
    </w:p>
    <w:p w14:paraId="70F84A77" w14:textId="3D28010D" w:rsidR="00892890" w:rsidRDefault="003642E1" w:rsidP="00892890">
      <w:pPr>
        <w:pStyle w:val="Lijstalinea"/>
        <w:ind w:left="1080"/>
      </w:pPr>
      <w:r>
        <w:t xml:space="preserve"> In </w:t>
      </w:r>
      <w:r w:rsidR="0071347E">
        <w:t xml:space="preserve">2025 zal zij voor de periode </w:t>
      </w:r>
      <w:r w:rsidR="00685259">
        <w:t xml:space="preserve">2022-24 de fiche bezorgen, </w:t>
      </w:r>
      <w:proofErr w:type="spellStart"/>
      <w:r w:rsidR="00685259">
        <w:t>enz</w:t>
      </w:r>
      <w:proofErr w:type="spellEnd"/>
      <w:r w:rsidR="00685259">
        <w:t>….</w:t>
      </w:r>
    </w:p>
    <w:p w14:paraId="4AFD9848" w14:textId="77777777" w:rsidR="00892890" w:rsidRPr="00892890" w:rsidRDefault="00892890" w:rsidP="00892890">
      <w:pPr>
        <w:pStyle w:val="Lijstalinea"/>
        <w:ind w:left="1080"/>
      </w:pPr>
    </w:p>
    <w:p w14:paraId="4406E8AF" w14:textId="77777777" w:rsidR="00B56B46" w:rsidRPr="00B56B46" w:rsidRDefault="00B56B46" w:rsidP="00B56B46">
      <w:pPr>
        <w:pStyle w:val="Lijstalinea"/>
        <w:rPr>
          <w:b/>
          <w:bCs/>
        </w:rPr>
      </w:pPr>
    </w:p>
    <w:p w14:paraId="6AD2AEFC" w14:textId="34D8CFF2" w:rsidR="00E0543D" w:rsidRPr="00B56B46" w:rsidRDefault="00DE2294" w:rsidP="00B56B46">
      <w:pPr>
        <w:rPr>
          <w:b/>
          <w:bCs/>
        </w:rPr>
      </w:pPr>
      <w:r w:rsidRPr="00B56B46">
        <w:rPr>
          <w:b/>
          <w:bCs/>
        </w:rPr>
        <w:t>B</w:t>
      </w:r>
      <w:r w:rsidR="00E0543D" w:rsidRPr="00B56B46">
        <w:rPr>
          <w:b/>
          <w:bCs/>
        </w:rPr>
        <w:t>) technische bespreking fiche</w:t>
      </w:r>
      <w:r w:rsidR="00FC019B" w:rsidRPr="00B56B46">
        <w:rPr>
          <w:b/>
          <w:bCs/>
        </w:rPr>
        <w:t xml:space="preserve"> (tabblad “fiche”)</w:t>
      </w:r>
      <w:r w:rsidR="00E0543D" w:rsidRPr="00B56B46">
        <w:rPr>
          <w:b/>
          <w:bCs/>
        </w:rPr>
        <w:t>:</w:t>
      </w:r>
    </w:p>
    <w:p w14:paraId="6BB3C4CD" w14:textId="1559091E" w:rsidR="00E0543D" w:rsidRDefault="00E0543D" w:rsidP="00E0543D">
      <w:r>
        <w:t>1) basisinfo</w:t>
      </w:r>
      <w:r w:rsidR="00DB6982">
        <w:t>:</w:t>
      </w:r>
    </w:p>
    <w:p w14:paraId="13BF7820" w14:textId="69317B86" w:rsidR="00DB6982" w:rsidRPr="0089363A" w:rsidRDefault="00DB6982" w:rsidP="00E0543D">
      <w:pPr>
        <w:rPr>
          <w:b/>
          <w:bCs/>
        </w:rPr>
      </w:pPr>
      <w:r>
        <w:t>In deze sectie worden een aantal gegevens standaard door het VIPA ingevuld</w:t>
      </w:r>
      <w:r w:rsidR="00194D32">
        <w:t xml:space="preserve">. </w:t>
      </w:r>
      <w:r w:rsidR="00194D32" w:rsidRPr="0089363A">
        <w:rPr>
          <w:b/>
          <w:bCs/>
        </w:rPr>
        <w:t>De gegevens die door u als aanvrager moeten ingevuld worden</w:t>
      </w:r>
      <w:r w:rsidR="001B5647">
        <w:rPr>
          <w:b/>
          <w:bCs/>
        </w:rPr>
        <w:t>,</w:t>
      </w:r>
      <w:r w:rsidR="001B5647" w:rsidRPr="0089363A">
        <w:rPr>
          <w:b/>
          <w:bCs/>
        </w:rPr>
        <w:t xml:space="preserve"> </w:t>
      </w:r>
      <w:r w:rsidR="00194D32" w:rsidRPr="0089363A">
        <w:rPr>
          <w:b/>
          <w:bCs/>
        </w:rPr>
        <w:t xml:space="preserve"> zijn</w:t>
      </w:r>
      <w:r w:rsidR="001B5647">
        <w:rPr>
          <w:b/>
          <w:bCs/>
        </w:rPr>
        <w:t xml:space="preserve"> </w:t>
      </w:r>
      <w:r w:rsidR="0089363A" w:rsidRPr="0089363A">
        <w:rPr>
          <w:b/>
          <w:bCs/>
        </w:rPr>
        <w:t>in blauw aangeduid.</w:t>
      </w:r>
    </w:p>
    <w:p w14:paraId="0024AE7C" w14:textId="1369CEEC" w:rsidR="00E3798D" w:rsidRDefault="00E3798D" w:rsidP="00E0543D">
      <w:r>
        <w:t xml:space="preserve">Volgende gegevens worden </w:t>
      </w:r>
      <w:r w:rsidRPr="005553EC">
        <w:t xml:space="preserve">standaard </w:t>
      </w:r>
      <w:r w:rsidR="0099307E" w:rsidRPr="005553EC">
        <w:rPr>
          <w:b/>
          <w:bCs/>
          <w:u w:val="single"/>
        </w:rPr>
        <w:t>door het VIPA ingevuld</w:t>
      </w:r>
      <w:r w:rsidR="0099307E">
        <w:t>:</w:t>
      </w:r>
    </w:p>
    <w:p w14:paraId="117482EA" w14:textId="73F22228" w:rsidR="00DB6982" w:rsidRDefault="00DB6982" w:rsidP="00DB6982">
      <w:pPr>
        <w:pStyle w:val="Lijstalinea"/>
        <w:numPr>
          <w:ilvl w:val="0"/>
          <w:numId w:val="1"/>
        </w:numPr>
      </w:pPr>
      <w:r>
        <w:t xml:space="preserve">1.1 Identificatie:  </w:t>
      </w:r>
      <w:r w:rsidRPr="00685259">
        <w:rPr>
          <w:highlight w:val="lightGray"/>
        </w:rPr>
        <w:t>belangrijk</w:t>
      </w:r>
      <w:r w:rsidR="004E3494" w:rsidRPr="00685259">
        <w:rPr>
          <w:highlight w:val="lightGray"/>
        </w:rPr>
        <w:t>!</w:t>
      </w:r>
      <w:r>
        <w:t xml:space="preserve"> elke wijziging van de identiteit van de aanvrager </w:t>
      </w:r>
      <w:r w:rsidR="00CD55A6">
        <w:t xml:space="preserve">dient gemeld of de overdracht </w:t>
      </w:r>
      <w:r>
        <w:t xml:space="preserve">behoeft in ieder geval de voorafgaande toestemming van het VIPA (zie </w:t>
      </w:r>
      <w:r w:rsidR="007709FB">
        <w:t xml:space="preserve">Bestemmingsbesluit, </w:t>
      </w:r>
      <w:hyperlink r:id="rId14" w:history="1">
        <w:r w:rsidR="007709FB" w:rsidRPr="007709FB">
          <w:rPr>
            <w:rStyle w:val="Hyperlink"/>
          </w:rPr>
          <w:t>Bestemmingsbesluit | Departement Zorg</w:t>
        </w:r>
      </w:hyperlink>
      <w:r w:rsidR="007709FB">
        <w:t xml:space="preserve">, </w:t>
      </w:r>
      <w:hyperlink r:id="rId15" w:history="1">
        <w:r w:rsidR="007709FB" w:rsidRPr="001026CD">
          <w:rPr>
            <w:rStyle w:val="Hyperlink"/>
          </w:rPr>
          <w:t>https://www.departementzorg.be/nl/bestemmingsbesluit</w:t>
        </w:r>
      </w:hyperlink>
      <w:r>
        <w:t>).</w:t>
      </w:r>
    </w:p>
    <w:p w14:paraId="37E8EB37" w14:textId="77777777" w:rsidR="007709FB" w:rsidRDefault="007709FB" w:rsidP="007709FB">
      <w:pPr>
        <w:pStyle w:val="Lijstalinea"/>
        <w:ind w:left="1080"/>
      </w:pPr>
    </w:p>
    <w:p w14:paraId="34DA8F5B" w14:textId="1BD08AB8" w:rsidR="00DB6982" w:rsidRDefault="00DB6982" w:rsidP="00DB6982">
      <w:pPr>
        <w:pStyle w:val="Lijstalinea"/>
        <w:numPr>
          <w:ilvl w:val="0"/>
          <w:numId w:val="1"/>
        </w:numPr>
      </w:pPr>
      <w:r>
        <w:t>1.2 Projectinfo:</w:t>
      </w:r>
    </w:p>
    <w:p w14:paraId="2A668851" w14:textId="72E68294" w:rsidR="00DB6982" w:rsidRDefault="00DB6982" w:rsidP="00DB6982">
      <w:pPr>
        <w:pStyle w:val="Lijstalinea"/>
        <w:numPr>
          <w:ilvl w:val="1"/>
          <w:numId w:val="1"/>
        </w:numPr>
      </w:pPr>
      <w:r>
        <w:t xml:space="preserve">Jaar ingebruikname: in </w:t>
      </w:r>
      <w:r w:rsidR="0025456C">
        <w:t>dit jaar wordt</w:t>
      </w:r>
      <w:r>
        <w:t xml:space="preserve"> de </w:t>
      </w:r>
      <w:r w:rsidRPr="0042167E">
        <w:rPr>
          <w:b/>
          <w:bCs/>
        </w:rPr>
        <w:t xml:space="preserve">financieringskost </w:t>
      </w:r>
      <w:r>
        <w:t>bepaald</w:t>
      </w:r>
      <w:r w:rsidR="00AF3CE5">
        <w:t xml:space="preserve"> en die blijft ook gehandhaafd voor de </w:t>
      </w:r>
      <w:r w:rsidR="00AF3CE5" w:rsidRPr="0025456C">
        <w:rPr>
          <w:b/>
          <w:bCs/>
        </w:rPr>
        <w:t>volledige economische levensduur</w:t>
      </w:r>
      <w:r w:rsidR="00AF3CE5">
        <w:t xml:space="preserve"> van het project</w:t>
      </w:r>
      <w:r w:rsidR="000A7B43">
        <w:t xml:space="preserve">. </w:t>
      </w:r>
      <w:r w:rsidR="006E5E53">
        <w:t xml:space="preserve">Er zal jaarlijks wel een toetsing zijn bij grote afwijking maar voor een efficiënte werking en vergelijking wordt die </w:t>
      </w:r>
      <w:r w:rsidR="0055621E">
        <w:t>meestal gehandhaafd.</w:t>
      </w:r>
    </w:p>
    <w:p w14:paraId="4629AAB9" w14:textId="77777777" w:rsidR="007709FB" w:rsidRDefault="007709FB" w:rsidP="007709FB">
      <w:pPr>
        <w:pStyle w:val="Lijstalinea"/>
        <w:ind w:left="1800"/>
      </w:pPr>
    </w:p>
    <w:p w14:paraId="06ED4952" w14:textId="4CD8DF7B" w:rsidR="00DB6982" w:rsidRDefault="00DB6982" w:rsidP="00DB6982">
      <w:pPr>
        <w:pStyle w:val="Lijstalinea"/>
        <w:numPr>
          <w:ilvl w:val="1"/>
          <w:numId w:val="1"/>
        </w:numPr>
      </w:pPr>
      <w:r>
        <w:t xml:space="preserve">Eerste </w:t>
      </w:r>
      <w:r w:rsidR="00DE2294">
        <w:t>boekjaar controleperiode:</w:t>
      </w:r>
    </w:p>
    <w:p w14:paraId="37026154" w14:textId="15CEF563" w:rsidR="00DE2294" w:rsidRDefault="00BE51F4" w:rsidP="00DE2294">
      <w:pPr>
        <w:pStyle w:val="Lijstalinea"/>
        <w:numPr>
          <w:ilvl w:val="2"/>
          <w:numId w:val="1"/>
        </w:numPr>
      </w:pPr>
      <w:r>
        <w:t>b</w:t>
      </w:r>
      <w:r w:rsidR="00DE2294">
        <w:t>ij een eerste controle zal dit het eerste jaar van betaling zijn</w:t>
      </w:r>
      <w:r>
        <w:t>;</w:t>
      </w:r>
    </w:p>
    <w:p w14:paraId="37814CD5" w14:textId="75B9A172" w:rsidR="00DE2294" w:rsidRDefault="00BE51F4" w:rsidP="00DE2294">
      <w:pPr>
        <w:pStyle w:val="Lijstalinea"/>
        <w:numPr>
          <w:ilvl w:val="2"/>
          <w:numId w:val="1"/>
        </w:numPr>
      </w:pPr>
      <w:r>
        <w:lastRenderedPageBreak/>
        <w:t>b</w:t>
      </w:r>
      <w:r w:rsidR="00DE2294">
        <w:t xml:space="preserve">ij </w:t>
      </w:r>
      <w:r w:rsidR="007709FB">
        <w:t>de tweede controle</w:t>
      </w:r>
      <w:r w:rsidR="0025456C">
        <w:t xml:space="preserve"> </w:t>
      </w:r>
      <w:r w:rsidR="007709FB">
        <w:t>wordt dat het jaar drie jaar na de eerste periode, bij de derde controle zes jaar na de eerste periode, enz.</w:t>
      </w:r>
    </w:p>
    <w:p w14:paraId="073998CD" w14:textId="77777777" w:rsidR="007709FB" w:rsidRDefault="007709FB" w:rsidP="007709FB">
      <w:pPr>
        <w:pStyle w:val="Lijstalinea"/>
        <w:ind w:left="2520"/>
      </w:pPr>
    </w:p>
    <w:p w14:paraId="74C88B8D" w14:textId="6FDED145" w:rsidR="00B729B9" w:rsidRDefault="00B729B9" w:rsidP="00B729B9">
      <w:pPr>
        <w:pStyle w:val="Lijstalinea"/>
        <w:numPr>
          <w:ilvl w:val="1"/>
          <w:numId w:val="1"/>
        </w:numPr>
      </w:pPr>
      <w:r>
        <w:t>Bouwindex</w:t>
      </w:r>
      <w:r w:rsidR="00F84FA8">
        <w:t xml:space="preserve"> jaar ingebruikname:</w:t>
      </w:r>
    </w:p>
    <w:p w14:paraId="2CE0923A" w14:textId="187A3CBA" w:rsidR="00F84FA8" w:rsidRDefault="00F84FA8" w:rsidP="00F84FA8">
      <w:pPr>
        <w:pStyle w:val="Lijstalinea"/>
        <w:numPr>
          <w:ilvl w:val="2"/>
          <w:numId w:val="1"/>
        </w:numPr>
      </w:pPr>
      <w:r>
        <w:t>Op basis van de investeringskost worden de afschrijvingen berekend</w:t>
      </w:r>
      <w:r w:rsidR="00D27D0D">
        <w:t xml:space="preserve">. Voor deze afschrijvingen zullen er op termijn </w:t>
      </w:r>
      <w:r w:rsidR="00F63A3C">
        <w:t xml:space="preserve">vervangingsinvesteringen dienen te gebeuren. </w:t>
      </w:r>
      <w:r w:rsidR="001B567B">
        <w:t xml:space="preserve">Dit zal op een </w:t>
      </w:r>
      <w:r w:rsidR="00BF06EF">
        <w:t>later</w:t>
      </w:r>
      <w:r w:rsidR="001B567B">
        <w:t xml:space="preserve"> tijdstip tegen hogere materiaal</w:t>
      </w:r>
      <w:r w:rsidR="007709FB">
        <w:t>kosten</w:t>
      </w:r>
      <w:r w:rsidR="001B567B">
        <w:t xml:space="preserve"> </w:t>
      </w:r>
      <w:r w:rsidR="001A4475">
        <w:t xml:space="preserve">gebeuren dan </w:t>
      </w:r>
      <w:r w:rsidR="002B18FC">
        <w:t>die waarop</w:t>
      </w:r>
      <w:r w:rsidR="00C05C87">
        <w:t xml:space="preserve"> de initiële </w:t>
      </w:r>
      <w:proofErr w:type="spellStart"/>
      <w:r w:rsidR="00C05C87">
        <w:t>aanschaffings</w:t>
      </w:r>
      <w:proofErr w:type="spellEnd"/>
      <w:r w:rsidR="00C05C87">
        <w:t>/realisatiewaarde</w:t>
      </w:r>
      <w:r w:rsidR="002B18FC">
        <w:t xml:space="preserve"> en dus ook de afschrijvingen werden gebaseerd</w:t>
      </w:r>
      <w:r w:rsidR="001A4475">
        <w:t>.</w:t>
      </w:r>
      <w:r w:rsidR="00945483">
        <w:t xml:space="preserve"> </w:t>
      </w:r>
      <w:r w:rsidR="005B660E">
        <w:t>Om de kost van de herinvesteringen tegen hogere materiaalprijzen correct weer te geven,</w:t>
      </w:r>
      <w:r w:rsidR="001A4475">
        <w:t xml:space="preserve"> worden de afschrijvingen elk jaar geïndexeerd aan de hand van de bouwindex. Om schommelingen uit te vlakken, wordt het gemiddelde genomen van de bouwindex </w:t>
      </w:r>
      <w:r w:rsidR="00956EEE">
        <w:t xml:space="preserve">zoals door VIPA bepaald </w:t>
      </w:r>
      <w:r w:rsidR="00E3734E">
        <w:t>voor het jaar van ingebruikname en het daaropvolgende jaar</w:t>
      </w:r>
      <w:r w:rsidR="001654D1">
        <w:t xml:space="preserve"> (</w:t>
      </w:r>
      <w:hyperlink r:id="rId16" w:history="1">
        <w:r w:rsidR="0044626D" w:rsidRPr="0044626D">
          <w:rPr>
            <w:rStyle w:val="Hyperlink"/>
          </w:rPr>
          <w:t>Indexcijfers en dagforfaits forfaitaire betoelaging | Departement Zorg</w:t>
        </w:r>
      </w:hyperlink>
      <w:r w:rsidR="0044626D">
        <w:t xml:space="preserve">, </w:t>
      </w:r>
      <w:hyperlink r:id="rId17" w:history="1">
        <w:r w:rsidR="0044626D" w:rsidRPr="001026CD">
          <w:rPr>
            <w:rStyle w:val="Hyperlink"/>
          </w:rPr>
          <w:t>https://www.departementzorg.be/nl/indexcijfers-en-dagforfaits-forfaitaire-betoelaging</w:t>
        </w:r>
      </w:hyperlink>
      <w:r w:rsidR="001654D1">
        <w:t>)</w:t>
      </w:r>
    </w:p>
    <w:p w14:paraId="258B3977" w14:textId="77777777" w:rsidR="00945483" w:rsidRDefault="00945483" w:rsidP="00945483">
      <w:pPr>
        <w:pStyle w:val="Lijstalinea"/>
        <w:ind w:left="2520"/>
      </w:pPr>
    </w:p>
    <w:p w14:paraId="43A7837D" w14:textId="18D3FA14" w:rsidR="00E0543D" w:rsidRDefault="00464CAC" w:rsidP="00E0543D">
      <w:pPr>
        <w:pStyle w:val="Lijstalinea"/>
        <w:numPr>
          <w:ilvl w:val="1"/>
          <w:numId w:val="1"/>
        </w:numPr>
      </w:pPr>
      <w:r>
        <w:t xml:space="preserve">1.2.1 </w:t>
      </w:r>
      <w:r w:rsidR="00DB6982">
        <w:t xml:space="preserve">Forfait: hier wordt </w:t>
      </w:r>
      <w:r w:rsidR="00194D32">
        <w:t xml:space="preserve">door het VIPA de </w:t>
      </w:r>
      <w:r w:rsidR="00DB6982">
        <w:t>forfait-gerelateerde informatie vermeld:</w:t>
      </w:r>
    </w:p>
    <w:p w14:paraId="1AEAD10E" w14:textId="04F87381" w:rsidR="00DB6982" w:rsidRDefault="00BE51F4" w:rsidP="00DB6982">
      <w:pPr>
        <w:pStyle w:val="Lijstalinea"/>
        <w:numPr>
          <w:ilvl w:val="2"/>
          <w:numId w:val="1"/>
        </w:numPr>
      </w:pPr>
      <w:r>
        <w:t>d</w:t>
      </w:r>
      <w:r w:rsidR="00DB6982">
        <w:t>e maximale capaciteit in de projectomschrijving</w:t>
      </w:r>
      <w:r>
        <w:t xml:space="preserve"> gebaseerd op max. veronderstelde gebruikers. Dit is ook de projectomschrijving die u in officiële communicatie zoals het “akkoord infrastructuurforfait” terugvindt;</w:t>
      </w:r>
    </w:p>
    <w:p w14:paraId="77A34DBC" w14:textId="394B8583" w:rsidR="00DB6982" w:rsidRDefault="00891B88" w:rsidP="00DB6982">
      <w:pPr>
        <w:pStyle w:val="Lijstalinea"/>
        <w:numPr>
          <w:ilvl w:val="2"/>
          <w:numId w:val="1"/>
        </w:numPr>
      </w:pPr>
      <w:r>
        <w:t>h</w:t>
      </w:r>
      <w:r w:rsidR="00E3798D">
        <w:t xml:space="preserve">et </w:t>
      </w:r>
      <w:r>
        <w:t xml:space="preserve">effectief uitbetaalde </w:t>
      </w:r>
      <w:r w:rsidR="00E3798D">
        <w:t>forfaitbedrag in euro per jaar</w:t>
      </w:r>
      <w:r>
        <w:t>.</w:t>
      </w:r>
    </w:p>
    <w:p w14:paraId="0E5FBB84" w14:textId="77777777" w:rsidR="0055621E" w:rsidRDefault="0055621E" w:rsidP="0055621E">
      <w:pPr>
        <w:pStyle w:val="Lijstalinea"/>
        <w:ind w:left="2520"/>
      </w:pPr>
    </w:p>
    <w:p w14:paraId="23E24EE6" w14:textId="6C741C81" w:rsidR="00803E5E" w:rsidRDefault="00803E5E" w:rsidP="00803E5E">
      <w:pPr>
        <w:pStyle w:val="Lijstalinea"/>
        <w:numPr>
          <w:ilvl w:val="0"/>
          <w:numId w:val="1"/>
        </w:numPr>
      </w:pPr>
      <w:r>
        <w:t>1.3: jaar van controle</w:t>
      </w:r>
    </w:p>
    <w:p w14:paraId="3D767A66" w14:textId="5888BAF3" w:rsidR="00425DED" w:rsidRDefault="00425DED" w:rsidP="009F56B7"/>
    <w:p w14:paraId="1078DC6A" w14:textId="71BD4821" w:rsidR="009F56B7" w:rsidRDefault="009F56B7" w:rsidP="009F56B7">
      <w:r w:rsidRPr="00C07DA5">
        <w:rPr>
          <w:b/>
          <w:bCs/>
          <w:u w:val="single"/>
        </w:rPr>
        <w:t>Onder 1.2.2 dienen de blauwe cellen door u te worden ingevuld</w:t>
      </w:r>
      <w:r>
        <w:t>:</w:t>
      </w:r>
    </w:p>
    <w:p w14:paraId="5D7C5E82" w14:textId="498FDFC5" w:rsidR="00E3798D" w:rsidRDefault="00464CAC" w:rsidP="009F56B7">
      <w:pPr>
        <w:pStyle w:val="Lijstalinea"/>
        <w:numPr>
          <w:ilvl w:val="1"/>
          <w:numId w:val="1"/>
        </w:numPr>
      </w:pPr>
      <w:r>
        <w:t xml:space="preserve">onder </w:t>
      </w:r>
      <w:r w:rsidRPr="00724A8D">
        <w:rPr>
          <w:b/>
          <w:bCs/>
        </w:rPr>
        <w:t>“investeringsuitgave”</w:t>
      </w:r>
      <w:r>
        <w:t xml:space="preserve"> </w:t>
      </w:r>
      <w:r w:rsidR="00425DED">
        <w:t>neemt u</w:t>
      </w:r>
      <w:r w:rsidR="00270C1A">
        <w:t xml:space="preserve"> de investeringsuitgave</w:t>
      </w:r>
      <w:r>
        <w:t xml:space="preserve"> </w:t>
      </w:r>
      <w:proofErr w:type="spellStart"/>
      <w:r>
        <w:t>ivm</w:t>
      </w:r>
      <w:proofErr w:type="spellEnd"/>
      <w:r>
        <w:t xml:space="preserve"> de “werken” en “los meubilair+ uitrusting” </w:t>
      </w:r>
      <w:r w:rsidR="0099331A">
        <w:t>inclusief BTW of registratierechten</w:t>
      </w:r>
      <w:r w:rsidR="00E36180">
        <w:t xml:space="preserve"> en na aftrek van eventuele eenmalige subsidies (</w:t>
      </w:r>
      <w:proofErr w:type="spellStart"/>
      <w:r w:rsidR="00E36180">
        <w:t>bvb</w:t>
      </w:r>
      <w:proofErr w:type="spellEnd"/>
      <w:r w:rsidR="00E36180">
        <w:t>. verbouwingspremie)</w:t>
      </w:r>
      <w:r w:rsidR="0099331A">
        <w:t xml:space="preserve"> </w:t>
      </w:r>
      <w:r>
        <w:t xml:space="preserve">op. </w:t>
      </w:r>
      <w:r w:rsidR="0044626D">
        <w:br/>
      </w:r>
      <w:r w:rsidR="00B34A8D">
        <w:t xml:space="preserve">Die investeringskost dient normaliter ook opgegeven </w:t>
      </w:r>
      <w:r w:rsidR="00292A02">
        <w:t xml:space="preserve">te </w:t>
      </w:r>
      <w:r w:rsidR="00B34A8D">
        <w:t>worden voor</w:t>
      </w:r>
      <w:r>
        <w:t xml:space="preserve"> de </w:t>
      </w:r>
      <w:r w:rsidRPr="00724A8D">
        <w:rPr>
          <w:b/>
          <w:bCs/>
        </w:rPr>
        <w:t>eindevaluatie van het VIPA-project</w:t>
      </w:r>
      <w:r w:rsidR="00053760">
        <w:t xml:space="preserve"> (zie ook: </w:t>
      </w:r>
      <w:hyperlink r:id="rId18" w:anchor="aanvraag-eindevaluatie-bij-ingebruikname-na-werken" w:history="1">
        <w:r w:rsidR="00053760" w:rsidRPr="00053760">
          <w:rPr>
            <w:rStyle w:val="Hyperlink"/>
          </w:rPr>
          <w:t>Samenstelling VIPA-aanvraag klassieke betoelaging | Departement Zorg</w:t>
        </w:r>
      </w:hyperlink>
      <w:r w:rsidR="00053760">
        <w:t xml:space="preserve">; </w:t>
      </w:r>
      <w:hyperlink r:id="rId19" w:anchor="aanvraag-eindevaluatie-bij-ingebruikname-na-werken" w:history="1">
        <w:r w:rsidR="00053760" w:rsidRPr="001026CD">
          <w:rPr>
            <w:rStyle w:val="Hyperlink"/>
          </w:rPr>
          <w:t>https://www.departementzorg.be/nl/samenstelling-vipa-aanvraag-klassieke-betoelaging#aanvraag-eindevaluatie-bij-ingebruikname-na-werken</w:t>
        </w:r>
      </w:hyperlink>
      <w:r w:rsidR="00053760">
        <w:t>)</w:t>
      </w:r>
    </w:p>
    <w:p w14:paraId="124EA402" w14:textId="77777777" w:rsidR="004E54A6" w:rsidRDefault="004E54A6" w:rsidP="004E54A6">
      <w:pPr>
        <w:pStyle w:val="Lijstalinea"/>
        <w:ind w:left="1800"/>
      </w:pPr>
    </w:p>
    <w:p w14:paraId="120BAA06" w14:textId="73554E4A" w:rsidR="004E54A6" w:rsidRDefault="004E54A6" w:rsidP="004E54A6">
      <w:pPr>
        <w:pStyle w:val="Lijstalinea"/>
        <w:numPr>
          <w:ilvl w:val="1"/>
          <w:numId w:val="1"/>
        </w:numPr>
      </w:pPr>
      <w:r>
        <w:t xml:space="preserve">De </w:t>
      </w:r>
      <w:r w:rsidRPr="00724A8D">
        <w:rPr>
          <w:b/>
          <w:bCs/>
        </w:rPr>
        <w:t>afschrijvingstermijn wordt vast bepaald op 25 en 10 jaar</w:t>
      </w:r>
      <w:r>
        <w:t xml:space="preserve"> voor resp. de werken en de losse uitrusting en meubilair en dit voor alle voorzieningen. Die termijnen </w:t>
      </w:r>
      <w:r w:rsidRPr="00186A41">
        <w:rPr>
          <w:b/>
          <w:bCs/>
        </w:rPr>
        <w:t>mag u dus niet meer wijzigen</w:t>
      </w:r>
      <w:r>
        <w:t xml:space="preserve">. De vaste termijnen zijn immers bedoeld om de eenduidigheid in de beoordeling te bewaken. De termijnen sluiten ook aan bij wat in de VIPA-regelgeving werd opgenomen m.b.t. de duur van het genotsrecht en </w:t>
      </w:r>
      <w:r w:rsidR="00370E54">
        <w:t>weerspiegelen</w:t>
      </w:r>
      <w:r>
        <w:t xml:space="preserve"> de impliciet veronderstelde gebruiksduur van het investeringsproject.</w:t>
      </w:r>
    </w:p>
    <w:p w14:paraId="04281DCB" w14:textId="77777777" w:rsidR="004E54A6" w:rsidRDefault="004E54A6" w:rsidP="004E54A6">
      <w:pPr>
        <w:pStyle w:val="Lijstalinea"/>
        <w:ind w:left="1800"/>
      </w:pPr>
    </w:p>
    <w:p w14:paraId="3FD0E9A0" w14:textId="1F157271" w:rsidR="00A4260D" w:rsidRDefault="00DB0BAB" w:rsidP="00A85D34">
      <w:pPr>
        <w:pStyle w:val="Lijstalinea"/>
        <w:numPr>
          <w:ilvl w:val="1"/>
          <w:numId w:val="1"/>
        </w:numPr>
      </w:pPr>
      <w:r>
        <w:lastRenderedPageBreak/>
        <w:t xml:space="preserve">Op basis van de investeringsuitgave en de afschrijvingstermijn zullen dus de afschrijvingen worden berekend. </w:t>
      </w:r>
      <w:r w:rsidR="00A4260D">
        <w:t xml:space="preserve">Er wordt </w:t>
      </w:r>
      <w:r w:rsidR="00A85D34">
        <w:t>uit</w:t>
      </w:r>
      <w:r w:rsidR="00A4260D">
        <w:t xml:space="preserve">gegaan van een normale </w:t>
      </w:r>
      <w:r w:rsidR="002E0296">
        <w:t>investeringscyclus zodat het gebouw en meubilair in stand worden gehouden</w:t>
      </w:r>
      <w:r w:rsidR="0054288A">
        <w:t xml:space="preserve">. Dit wil zeggen dat over een periode van 25 en na 10 jaar </w:t>
      </w:r>
      <w:r w:rsidR="00A85D34">
        <w:t xml:space="preserve">regelmatige opnieuw geïnvesteerd wordt in het gebouw en het meubilair. Dit heeft </w:t>
      </w:r>
      <w:r w:rsidR="002E0296">
        <w:t>2 belangrijke gevolgen:</w:t>
      </w:r>
    </w:p>
    <w:p w14:paraId="07EC13AC" w14:textId="77777777" w:rsidR="002E0296" w:rsidRDefault="002E0296" w:rsidP="002E0296">
      <w:pPr>
        <w:pStyle w:val="Lijstalinea"/>
      </w:pPr>
    </w:p>
    <w:p w14:paraId="26C8FF04" w14:textId="44A236B3" w:rsidR="002E0296" w:rsidRDefault="002E0296" w:rsidP="002E0296">
      <w:pPr>
        <w:pStyle w:val="Lijstalinea"/>
        <w:numPr>
          <w:ilvl w:val="2"/>
          <w:numId w:val="1"/>
        </w:numPr>
      </w:pPr>
      <w:r>
        <w:t xml:space="preserve">De afschrijvingen blijven minimaal </w:t>
      </w:r>
      <w:r w:rsidR="00546918">
        <w:t xml:space="preserve">op het initiële niveau. Dit betekent dat de afschrijvingen voor </w:t>
      </w:r>
      <w:proofErr w:type="spellStart"/>
      <w:r w:rsidR="00DD26A0">
        <w:t>bvb.</w:t>
      </w:r>
      <w:r w:rsidR="00546918">
        <w:t>meubilair</w:t>
      </w:r>
      <w:proofErr w:type="spellEnd"/>
      <w:r w:rsidR="00546918">
        <w:t xml:space="preserve"> na 10 jaar niet wegvallen</w:t>
      </w:r>
    </w:p>
    <w:p w14:paraId="329FD853" w14:textId="117107F9" w:rsidR="00A57BD1" w:rsidRDefault="00A57BD1" w:rsidP="002E0296">
      <w:pPr>
        <w:pStyle w:val="Lijstalinea"/>
        <w:numPr>
          <w:ilvl w:val="2"/>
          <w:numId w:val="1"/>
        </w:numPr>
      </w:pPr>
      <w:r>
        <w:t xml:space="preserve">De </w:t>
      </w:r>
      <w:r w:rsidR="00DD26A0">
        <w:t>vervangings</w:t>
      </w:r>
      <w:r>
        <w:t>investeringen</w:t>
      </w:r>
      <w:r w:rsidR="00DD26A0">
        <w:t xml:space="preserve"> ter compensatie van de afschrijvingen,</w:t>
      </w:r>
      <w:r>
        <w:t xml:space="preserve"> zullen tegen hogere materiaal- en aankoopkosten gebeuren gezien de stijgende levensduurte. Bijgevolg worden de afschrijvingen ook elk jaar aangepast aan de bouwindex</w:t>
      </w:r>
      <w:r w:rsidR="008212EA">
        <w:t xml:space="preserve"> (</w:t>
      </w:r>
      <w:r w:rsidR="00680150">
        <w:t>zie hierboven onder 1.2)</w:t>
      </w:r>
      <w:r w:rsidR="008212EA">
        <w:t xml:space="preserve"> </w:t>
      </w:r>
    </w:p>
    <w:p w14:paraId="3C6CE0D7" w14:textId="77777777" w:rsidR="00972F4B" w:rsidRDefault="00972F4B" w:rsidP="00972F4B">
      <w:pPr>
        <w:pStyle w:val="Lijstalinea"/>
      </w:pPr>
    </w:p>
    <w:p w14:paraId="512BD8BF" w14:textId="7DB73C8B" w:rsidR="006444D8" w:rsidRDefault="00C60271" w:rsidP="009F56B7">
      <w:pPr>
        <w:pStyle w:val="Lijstalinea"/>
        <w:numPr>
          <w:ilvl w:val="1"/>
          <w:numId w:val="1"/>
        </w:numPr>
      </w:pPr>
      <w:r>
        <w:t>I</w:t>
      </w:r>
      <w:r w:rsidR="006444D8">
        <w:t xml:space="preserve">ndien u </w:t>
      </w:r>
      <w:r w:rsidR="00756CF8">
        <w:t xml:space="preserve">de infrastructuur </w:t>
      </w:r>
      <w:r w:rsidR="006A302D">
        <w:t>die</w:t>
      </w:r>
      <w:r w:rsidR="001544F3">
        <w:t xml:space="preserve"> gesubsidieerd wordt door het VIPA-forfait</w:t>
      </w:r>
      <w:r w:rsidR="00756CF8">
        <w:t xml:space="preserve"> </w:t>
      </w:r>
      <w:r w:rsidR="00342F2C">
        <w:t>ter beschikking krijgt gesteld via een zakelijk of genotsrecht (erfpacht – opstal – huur – gebruiksrecht…)</w:t>
      </w:r>
      <w:r w:rsidR="00C36277">
        <w:t xml:space="preserve"> </w:t>
      </w:r>
      <w:r w:rsidR="00756CF8">
        <w:t>dan:</w:t>
      </w:r>
    </w:p>
    <w:p w14:paraId="36BDCDD2" w14:textId="3A3A6E46" w:rsidR="00756CF8" w:rsidRDefault="00E6102E" w:rsidP="00756CF8">
      <w:pPr>
        <w:pStyle w:val="Lijstalinea"/>
        <w:numPr>
          <w:ilvl w:val="2"/>
          <w:numId w:val="1"/>
        </w:numPr>
      </w:pPr>
      <w:r>
        <w:t xml:space="preserve">vermeldt u het ondernemingsnummer van de </w:t>
      </w:r>
      <w:r w:rsidR="004D431B">
        <w:t>derde die ter beschikking stelt</w:t>
      </w:r>
    </w:p>
    <w:p w14:paraId="5EB17F70" w14:textId="61A73953" w:rsidR="00C50503" w:rsidRDefault="0086443C" w:rsidP="0024103A">
      <w:pPr>
        <w:pStyle w:val="Lijstalinea"/>
        <w:numPr>
          <w:ilvl w:val="2"/>
          <w:numId w:val="1"/>
        </w:numPr>
      </w:pPr>
      <w:r>
        <w:t xml:space="preserve">beantwoordt u de vraag “wordt de investeringsuitgave (die voorwerp is van het VIPA-forfait) afgeschreven door de </w:t>
      </w:r>
      <w:r w:rsidR="003147A4">
        <w:t>derde</w:t>
      </w:r>
      <w:r w:rsidR="00E14F2F">
        <w:t xml:space="preserve">” met “ja”. In dat geval mag u dan zeker niet vergeten onder 2.2 </w:t>
      </w:r>
      <w:r w:rsidR="00F279CB">
        <w:t xml:space="preserve">het kapitaaldeel van de </w:t>
      </w:r>
      <w:r w:rsidR="00524711">
        <w:t>periodieke vergoeding (op jaarbasis)</w:t>
      </w:r>
      <w:r w:rsidR="00E14F2F">
        <w:t xml:space="preserve"> te vermelden. </w:t>
      </w:r>
    </w:p>
    <w:p w14:paraId="674F183D" w14:textId="77777777" w:rsidR="00C50503" w:rsidRDefault="00C50503" w:rsidP="00C50503">
      <w:pPr>
        <w:pStyle w:val="Lijstalinea"/>
        <w:ind w:left="2520"/>
      </w:pPr>
    </w:p>
    <w:p w14:paraId="003AE819" w14:textId="6061DC5C" w:rsidR="00E6102E" w:rsidRDefault="00E14F2F" w:rsidP="00C50503">
      <w:pPr>
        <w:pStyle w:val="Lijstalinea"/>
        <w:numPr>
          <w:ilvl w:val="3"/>
          <w:numId w:val="1"/>
        </w:numPr>
      </w:pPr>
      <w:r>
        <w:t xml:space="preserve">Dit betreft hier </w:t>
      </w:r>
      <w:proofErr w:type="spellStart"/>
      <w:r>
        <w:t>bvb</w:t>
      </w:r>
      <w:proofErr w:type="spellEnd"/>
      <w:r>
        <w:t xml:space="preserve">. de gevallen waarin </w:t>
      </w:r>
      <w:r w:rsidR="0078369C">
        <w:t>een andere rechtspersoon (</w:t>
      </w:r>
      <w:proofErr w:type="spellStart"/>
      <w:r w:rsidR="00261694">
        <w:t>bvb</w:t>
      </w:r>
      <w:proofErr w:type="spellEnd"/>
      <w:r w:rsidR="00261694">
        <w:t xml:space="preserve">. een </w:t>
      </w:r>
      <w:proofErr w:type="spellStart"/>
      <w:r w:rsidR="00261694">
        <w:t>infrastructuur</w:t>
      </w:r>
      <w:r w:rsidR="0078369C">
        <w:t>coöperatieve</w:t>
      </w:r>
      <w:proofErr w:type="spellEnd"/>
      <w:r w:rsidR="0078369C">
        <w:t xml:space="preserve">) de infrastructuur ter beschikking stelt en </w:t>
      </w:r>
      <w:r w:rsidR="0088064E">
        <w:t xml:space="preserve">door u als aanvrager </w:t>
      </w:r>
      <w:r w:rsidR="0078369C">
        <w:t>een huur wordt betaald</w:t>
      </w:r>
      <w:r w:rsidR="0088064E">
        <w:t xml:space="preserve"> aan de coöperatieve.</w:t>
      </w:r>
    </w:p>
    <w:p w14:paraId="254FAD75" w14:textId="0A60D97E" w:rsidR="00C50503" w:rsidRDefault="00C50503" w:rsidP="00C50503">
      <w:pPr>
        <w:pStyle w:val="Lijstalinea"/>
        <w:numPr>
          <w:ilvl w:val="3"/>
          <w:numId w:val="1"/>
        </w:numPr>
      </w:pPr>
      <w:r>
        <w:t>Voorbeeld: een coöperatieve trekt</w:t>
      </w:r>
      <w:r w:rsidR="00084688">
        <w:t xml:space="preserve"> een</w:t>
      </w:r>
      <w:r>
        <w:t xml:space="preserve"> gebouw op van </w:t>
      </w:r>
      <w:r w:rsidR="006160D4">
        <w:t xml:space="preserve">10.000.000 euro waarvoor u het VIPA-forfait voor 50 </w:t>
      </w:r>
      <w:r w:rsidR="004A6163">
        <w:t>gebruikers wonen en collectief &amp; zorg</w:t>
      </w:r>
      <w:r w:rsidR="0059285C">
        <w:t xml:space="preserve"> ontvangt</w:t>
      </w:r>
      <w:r w:rsidR="009448AC">
        <w:t>. U betaalt een jaarlijkse huur van 400.000 euro voor de terbeschikkingstelling.</w:t>
      </w:r>
    </w:p>
    <w:p w14:paraId="6488D47B" w14:textId="6D612DD3" w:rsidR="00C50503" w:rsidRDefault="004A6163" w:rsidP="0024103A">
      <w:pPr>
        <w:pStyle w:val="Lijstalinea"/>
        <w:numPr>
          <w:ilvl w:val="4"/>
          <w:numId w:val="1"/>
        </w:numPr>
      </w:pPr>
      <w:r>
        <w:t xml:space="preserve">U vult de investeringskost </w:t>
      </w:r>
      <w:r w:rsidR="009448AC">
        <w:t>(10.000.000 euro) in onder werken</w:t>
      </w:r>
    </w:p>
    <w:p w14:paraId="4427DBC2" w14:textId="2D1675DA" w:rsidR="009448AC" w:rsidRDefault="00295BBF" w:rsidP="0024103A">
      <w:pPr>
        <w:pStyle w:val="Lijstalinea"/>
        <w:numPr>
          <w:ilvl w:val="4"/>
          <w:numId w:val="1"/>
        </w:numPr>
      </w:pPr>
      <w:r>
        <w:t>U vult het ondernemingsnummer van de coöperatieve in cel C</w:t>
      </w:r>
      <w:r w:rsidR="007709FB">
        <w:t>34</w:t>
      </w:r>
      <w:r>
        <w:t xml:space="preserve"> in</w:t>
      </w:r>
    </w:p>
    <w:p w14:paraId="709B76E2" w14:textId="170082D2" w:rsidR="00295BBF" w:rsidRDefault="00295BBF" w:rsidP="0024103A">
      <w:pPr>
        <w:pStyle w:val="Lijstalinea"/>
        <w:numPr>
          <w:ilvl w:val="4"/>
          <w:numId w:val="1"/>
        </w:numPr>
      </w:pPr>
      <w:r>
        <w:t>U duidt in cel C</w:t>
      </w:r>
      <w:r w:rsidR="007709FB">
        <w:t>35</w:t>
      </w:r>
      <w:r>
        <w:t xml:space="preserve"> “ja”</w:t>
      </w:r>
      <w:r w:rsidR="00CE4E42">
        <w:t>: de afschrijvingskost wordt dan niet meegenomen maar…</w:t>
      </w:r>
    </w:p>
    <w:p w14:paraId="7832CF84" w14:textId="5FAD4771" w:rsidR="00A17033" w:rsidRDefault="00054E91" w:rsidP="0024103A">
      <w:pPr>
        <w:pStyle w:val="Lijstalinea"/>
        <w:numPr>
          <w:ilvl w:val="4"/>
          <w:numId w:val="1"/>
        </w:numPr>
      </w:pPr>
      <w:r>
        <w:t>… onder</w:t>
      </w:r>
      <w:r w:rsidR="00A17033">
        <w:t xml:space="preserve"> 2.2 mag u dan wel de periodieke huurkost vermelden.</w:t>
      </w:r>
    </w:p>
    <w:p w14:paraId="55DC2A9B" w14:textId="55C7DD66" w:rsidR="00464CAC" w:rsidRDefault="00B34A8D" w:rsidP="00B34A8D">
      <w:r>
        <w:t>2) Vereiste input voorziening met betrekking tot opbrengsten</w:t>
      </w:r>
      <w:r w:rsidR="00367BE9">
        <w:t xml:space="preserve"> en kosten</w:t>
      </w:r>
    </w:p>
    <w:p w14:paraId="6F8569B8" w14:textId="61639542" w:rsidR="00367BE9" w:rsidRDefault="00367BE9" w:rsidP="00B34A8D">
      <w:r>
        <w:t>2.1) opbrengsten</w:t>
      </w:r>
    </w:p>
    <w:p w14:paraId="259D652F" w14:textId="4BA472E9" w:rsidR="007C1471" w:rsidRDefault="00E16AD2" w:rsidP="00B34A8D">
      <w:r>
        <w:t xml:space="preserve">Hier vult u </w:t>
      </w:r>
      <w:r w:rsidR="007C1471" w:rsidRPr="00E16AD2">
        <w:rPr>
          <w:b/>
          <w:bCs/>
        </w:rPr>
        <w:t xml:space="preserve">het deel van de gebruikersbijdrage </w:t>
      </w:r>
      <w:proofErr w:type="spellStart"/>
      <w:r w:rsidR="007C1471" w:rsidRPr="00E16AD2">
        <w:rPr>
          <w:b/>
          <w:bCs/>
        </w:rPr>
        <w:t>mbt</w:t>
      </w:r>
      <w:proofErr w:type="spellEnd"/>
      <w:r w:rsidR="007C1471" w:rsidRPr="00E16AD2">
        <w:rPr>
          <w:b/>
          <w:bCs/>
        </w:rPr>
        <w:t xml:space="preserve"> de pure infrastructuur</w:t>
      </w:r>
      <w:r w:rsidR="001D20BD">
        <w:rPr>
          <w:b/>
          <w:bCs/>
        </w:rPr>
        <w:t xml:space="preserve"> </w:t>
      </w:r>
      <w:r>
        <w:t xml:space="preserve"> in (</w:t>
      </w:r>
      <w:r w:rsidR="005A5D7C">
        <w:t xml:space="preserve">de in te voeren cellen staan opnieuw </w:t>
      </w:r>
      <w:r>
        <w:t xml:space="preserve">in blauw aangeduid) </w:t>
      </w:r>
      <w:r w:rsidR="00DA30D7">
        <w:t>in</w:t>
      </w:r>
      <w:r w:rsidR="007C1471">
        <w:t>:</w:t>
      </w:r>
    </w:p>
    <w:p w14:paraId="17EB6A55" w14:textId="21B3AB1E" w:rsidR="007C1471" w:rsidRDefault="00AA059E" w:rsidP="007C1471">
      <w:pPr>
        <w:pStyle w:val="Lijstalinea"/>
        <w:numPr>
          <w:ilvl w:val="0"/>
          <w:numId w:val="1"/>
        </w:numPr>
      </w:pPr>
      <w:r w:rsidRPr="004C0A95">
        <w:rPr>
          <w:b/>
          <w:bCs/>
        </w:rPr>
        <w:t>primair</w:t>
      </w:r>
      <w:r w:rsidR="007C1471" w:rsidRPr="004C0A95">
        <w:rPr>
          <w:b/>
          <w:bCs/>
        </w:rPr>
        <w:t>:</w:t>
      </w:r>
      <w:r w:rsidR="007C1471">
        <w:t xml:space="preserve"> afschrijvingen</w:t>
      </w:r>
      <w:r w:rsidR="00E447A0">
        <w:t xml:space="preserve">, </w:t>
      </w:r>
      <w:r w:rsidR="007C1471">
        <w:t>huur</w:t>
      </w:r>
      <w:r w:rsidR="00E447A0">
        <w:t xml:space="preserve"> en </w:t>
      </w:r>
      <w:r w:rsidR="00E447A0" w:rsidRPr="002D26F6">
        <w:t>de</w:t>
      </w:r>
      <w:r w:rsidR="00C7740F">
        <w:t xml:space="preserve"> eventueel doorgerekende</w:t>
      </w:r>
      <w:r w:rsidR="00E447A0" w:rsidRPr="002D26F6">
        <w:t xml:space="preserve"> </w:t>
      </w:r>
      <w:r w:rsidR="002D26F6" w:rsidRPr="002D26F6">
        <w:t>intrestkost van de leningen</w:t>
      </w:r>
      <w:r w:rsidR="0088064E">
        <w:t>;</w:t>
      </w:r>
    </w:p>
    <w:p w14:paraId="2B72F119" w14:textId="450E062C" w:rsidR="00D53366" w:rsidRDefault="00D53366" w:rsidP="00D53366">
      <w:pPr>
        <w:pStyle w:val="Lijstalinea"/>
        <w:ind w:left="1080"/>
      </w:pPr>
      <w:r>
        <w:lastRenderedPageBreak/>
        <w:t>&gt;&gt; deze doorrekening in de gebruikersbijdrage wordt altijd opgenomen</w:t>
      </w:r>
    </w:p>
    <w:p w14:paraId="3B4B631F" w14:textId="77777777" w:rsidR="00D53366" w:rsidRPr="002D26F6" w:rsidRDefault="00D53366" w:rsidP="00D53366">
      <w:pPr>
        <w:pStyle w:val="Lijstalinea"/>
        <w:ind w:left="1080"/>
      </w:pPr>
    </w:p>
    <w:p w14:paraId="60BFC1E5" w14:textId="5736ACC8" w:rsidR="00902665" w:rsidRDefault="00AA059E" w:rsidP="007C1471">
      <w:pPr>
        <w:pStyle w:val="Lijstalinea"/>
        <w:numPr>
          <w:ilvl w:val="0"/>
          <w:numId w:val="1"/>
        </w:numPr>
      </w:pPr>
      <w:r w:rsidRPr="004C0A95">
        <w:rPr>
          <w:b/>
          <w:bCs/>
        </w:rPr>
        <w:t>secundair</w:t>
      </w:r>
      <w:r w:rsidR="007C1471" w:rsidRPr="004C0A95">
        <w:rPr>
          <w:b/>
          <w:bCs/>
        </w:rPr>
        <w:t>:</w:t>
      </w:r>
      <w:r w:rsidR="007C1471">
        <w:t xml:space="preserve"> </w:t>
      </w:r>
      <w:r w:rsidR="00902665">
        <w:t xml:space="preserve">het doorgerekende deel in de gebruikerstoelage </w:t>
      </w:r>
      <w:proofErr w:type="spellStart"/>
      <w:r w:rsidR="00902665">
        <w:t>mbt</w:t>
      </w:r>
      <w:proofErr w:type="spellEnd"/>
      <w:r w:rsidR="00902665">
        <w:t>:</w:t>
      </w:r>
    </w:p>
    <w:p w14:paraId="402C3B45" w14:textId="6F15A7D3" w:rsidR="00902665" w:rsidRDefault="006839F6" w:rsidP="00902665">
      <w:pPr>
        <w:pStyle w:val="Lijstalinea"/>
        <w:numPr>
          <w:ilvl w:val="1"/>
          <w:numId w:val="1"/>
        </w:numPr>
      </w:pPr>
      <w:r>
        <w:t>vergoeding</w:t>
      </w:r>
      <w:r w:rsidR="00F57C39">
        <w:t xml:space="preserve"> </w:t>
      </w:r>
      <w:r w:rsidR="007C1471">
        <w:t>erfpacht/opstal op grond</w:t>
      </w:r>
      <w:r w:rsidR="00D93633">
        <w:t xml:space="preserve"> (pro rato de oppervlakte van het forfaitgerechtigde project)</w:t>
      </w:r>
    </w:p>
    <w:p w14:paraId="3F5B3614" w14:textId="4C0A3FD7" w:rsidR="007C1471" w:rsidRDefault="007C1471" w:rsidP="00902665">
      <w:pPr>
        <w:pStyle w:val="Lijstalinea"/>
        <w:numPr>
          <w:ilvl w:val="1"/>
          <w:numId w:val="1"/>
        </w:numPr>
      </w:pPr>
      <w:r>
        <w:t>toerekenbaar deel patrimoniumtaks</w:t>
      </w:r>
      <w:r w:rsidR="00D93633">
        <w:t xml:space="preserve"> (idem</w:t>
      </w:r>
      <w:r w:rsidR="00E3503F">
        <w:t>)</w:t>
      </w:r>
    </w:p>
    <w:p w14:paraId="3058D237" w14:textId="62E2F742" w:rsidR="009B7C55" w:rsidRDefault="00CE7043" w:rsidP="009B7C55">
      <w:pPr>
        <w:pStyle w:val="Lijstalinea"/>
        <w:numPr>
          <w:ilvl w:val="1"/>
          <w:numId w:val="1"/>
        </w:numPr>
      </w:pPr>
      <w:r>
        <w:t>toerekenbare gemeenschappelijke kosten</w:t>
      </w:r>
      <w:r w:rsidR="00D8557D">
        <w:t xml:space="preserve"> </w:t>
      </w:r>
      <w:proofErr w:type="spellStart"/>
      <w:r w:rsidR="00D8557D">
        <w:t>mbt</w:t>
      </w:r>
      <w:proofErr w:type="spellEnd"/>
      <w:r w:rsidR="00D8557D">
        <w:t xml:space="preserve"> de infrastructuur</w:t>
      </w:r>
      <w:r w:rsidR="00222E5F">
        <w:t xml:space="preserve"> (zoals </w:t>
      </w:r>
      <w:proofErr w:type="spellStart"/>
      <w:r w:rsidR="00222E5F">
        <w:t>bvb</w:t>
      </w:r>
      <w:proofErr w:type="spellEnd"/>
      <w:r w:rsidR="00222E5F">
        <w:t xml:space="preserve">. </w:t>
      </w:r>
      <w:r w:rsidR="00D53366">
        <w:t>v</w:t>
      </w:r>
      <w:r w:rsidR="00222E5F">
        <w:t>erzekering</w:t>
      </w:r>
      <w:r w:rsidR="00D53366">
        <w:t xml:space="preserve"> gebouw</w:t>
      </w:r>
      <w:r w:rsidR="00222E5F">
        <w:t>)</w:t>
      </w:r>
      <w:r>
        <w:t xml:space="preserve">. </w:t>
      </w:r>
    </w:p>
    <w:p w14:paraId="5134FD16" w14:textId="30CDA53A" w:rsidR="00286E74" w:rsidRDefault="00D53366" w:rsidP="00286E74">
      <w:pPr>
        <w:ind w:left="1416"/>
      </w:pPr>
      <w:r>
        <w:t>&gt;&gt; Deze doorrekening in de gebruikersbijdrage kan</w:t>
      </w:r>
      <w:r w:rsidR="009B7C55">
        <w:t xml:space="preserve"> worden weggelaten maar </w:t>
      </w:r>
      <w:r w:rsidR="009B7C55" w:rsidRPr="00B14C90">
        <w:rPr>
          <w:b/>
          <w:bCs/>
        </w:rPr>
        <w:t xml:space="preserve">vergeet dan niet </w:t>
      </w:r>
      <w:r w:rsidR="00B14C90">
        <w:rPr>
          <w:b/>
          <w:bCs/>
        </w:rPr>
        <w:t xml:space="preserve">om </w:t>
      </w:r>
      <w:r w:rsidR="00244663">
        <w:rPr>
          <w:b/>
          <w:bCs/>
        </w:rPr>
        <w:t>ook de overeenstemmende kosten onder 2.2 weg te laten</w:t>
      </w:r>
      <w:r w:rsidR="009B7C55">
        <w:t>.</w:t>
      </w:r>
      <w:r w:rsidR="00CB1BC3">
        <w:t xml:space="preserve"> </w:t>
      </w:r>
      <w:r w:rsidR="000D20E6">
        <w:t xml:space="preserve">De secundaire bijdrage staat immers in een 1-op-1-relatie met de kosten onder 2.2. </w:t>
      </w:r>
      <w:r w:rsidR="00E3503F">
        <w:t>Gezien het VIPA-forfait deze kosten niet afdekt</w:t>
      </w:r>
      <w:r w:rsidR="00370454">
        <w:t xml:space="preserve"> en gezien </w:t>
      </w:r>
      <w:r w:rsidR="00006F76">
        <w:t>die kosten en opbrengsten als communicerende vaten fungeren</w:t>
      </w:r>
      <w:r w:rsidR="00370454">
        <w:t>, worden ze best zowel uit de gebruikersbijdrage als uit de kosten weggelaten.</w:t>
      </w:r>
    </w:p>
    <w:p w14:paraId="3D34E5A2" w14:textId="1D819D7A" w:rsidR="004372CD" w:rsidRDefault="007C1471" w:rsidP="009B7C55">
      <w:r w:rsidRPr="00E16AD2">
        <w:rPr>
          <w:b/>
          <w:bCs/>
        </w:rPr>
        <w:t>Andere componenten</w:t>
      </w:r>
      <w:r>
        <w:t xml:space="preserve"> zoals </w:t>
      </w:r>
      <w:r w:rsidR="005D21B9">
        <w:t>verbruikskosten (</w:t>
      </w:r>
      <w:r w:rsidR="00DF0F3D">
        <w:t>gas</w:t>
      </w:r>
      <w:r w:rsidR="005D21B9">
        <w:t>/elektriciteit),</w:t>
      </w:r>
      <w:r>
        <w:t xml:space="preserve"> </w:t>
      </w:r>
      <w:r w:rsidR="00884E49">
        <w:t xml:space="preserve">bijdrage reserve voor toekomstige investeringen en </w:t>
      </w:r>
      <w:r>
        <w:t xml:space="preserve">onderhoudskosten </w:t>
      </w:r>
      <w:r w:rsidR="004A35EE">
        <w:rPr>
          <w:b/>
          <w:bCs/>
        </w:rPr>
        <w:t>worden niet</w:t>
      </w:r>
      <w:r w:rsidRPr="00E16AD2">
        <w:rPr>
          <w:b/>
          <w:bCs/>
        </w:rPr>
        <w:t xml:space="preserve"> opgenomen</w:t>
      </w:r>
      <w:r w:rsidR="00DF0F3D">
        <w:t>, omwille van</w:t>
      </w:r>
      <w:r w:rsidR="0088064E">
        <w:t xml:space="preserve"> volgende redenen</w:t>
      </w:r>
      <w:r w:rsidR="004372CD">
        <w:t>:</w:t>
      </w:r>
    </w:p>
    <w:p w14:paraId="2A955C77" w14:textId="609255B8" w:rsidR="001A0677" w:rsidRDefault="00771E24" w:rsidP="004372CD">
      <w:pPr>
        <w:pStyle w:val="Lijstalinea"/>
        <w:numPr>
          <w:ilvl w:val="0"/>
          <w:numId w:val="1"/>
        </w:numPr>
      </w:pPr>
      <w:r>
        <w:rPr>
          <w:b/>
          <w:bCs/>
        </w:rPr>
        <w:t>Verbruikskosten</w:t>
      </w:r>
      <w:r w:rsidR="004372CD">
        <w:t xml:space="preserve"> </w:t>
      </w:r>
      <w:r w:rsidR="001A0677">
        <w:t xml:space="preserve">hebben toch </w:t>
      </w:r>
      <w:r w:rsidR="00D546F6">
        <w:t xml:space="preserve">een </w:t>
      </w:r>
      <w:r w:rsidR="001A0677">
        <w:t>1 op 1 relatie met de kosten. Normaliter</w:t>
      </w:r>
      <w:r w:rsidR="00D546F6">
        <w:t xml:space="preserve"> </w:t>
      </w:r>
      <w:r w:rsidR="001A0677">
        <w:t xml:space="preserve">zou een gelijk bedrag zowel bij de opbrengsten (gebruikersbijdrage) als de kosten </w:t>
      </w:r>
      <w:r w:rsidR="00D546F6">
        <w:t xml:space="preserve">moeten </w:t>
      </w:r>
      <w:r w:rsidR="001A0677">
        <w:t>voorkomen</w:t>
      </w:r>
      <w:r w:rsidR="00AD0BC6">
        <w:t xml:space="preserve"> gezien telkens in functie van verbruik of dienstverlening wordt betaald</w:t>
      </w:r>
      <w:r w:rsidR="000C27CD">
        <w:t xml:space="preserve">. </w:t>
      </w:r>
      <w:r w:rsidR="00BF0EA7">
        <w:t xml:space="preserve">Bovendien </w:t>
      </w:r>
      <w:r w:rsidR="005A5456">
        <w:t>vormen</w:t>
      </w:r>
      <w:r w:rsidR="00C263DC">
        <w:t xml:space="preserve"> de verb</w:t>
      </w:r>
      <w:r w:rsidR="005A5456">
        <w:t>ruikskosten geen voorwerp van de VIPA-subsidiëring</w:t>
      </w:r>
    </w:p>
    <w:p w14:paraId="1484F227" w14:textId="5E320CBC" w:rsidR="00474F66" w:rsidRDefault="005F174B" w:rsidP="004372CD">
      <w:pPr>
        <w:pStyle w:val="Lijstalinea"/>
        <w:numPr>
          <w:ilvl w:val="0"/>
          <w:numId w:val="1"/>
        </w:numPr>
      </w:pPr>
      <w:r>
        <w:rPr>
          <w:b/>
          <w:bCs/>
        </w:rPr>
        <w:t xml:space="preserve">Bijdrage reserve voor toekomstige investeringen </w:t>
      </w:r>
      <w:r>
        <w:t xml:space="preserve">is geen kost. </w:t>
      </w:r>
      <w:r w:rsidR="00972A22">
        <w:t xml:space="preserve"> Dit wordt voor de Europese staatssteuncontrole niet expliciet aanvaard gezien de redelijke winst hier al rekening mee houdt. Die redelijke winst wordt immers berekend op basis van </w:t>
      </w:r>
      <w:r w:rsidR="00C45F77">
        <w:t>een gewogen financieringskost die</w:t>
      </w:r>
      <w:r w:rsidR="00637D6A">
        <w:t xml:space="preserve"> ook een vergoeding </w:t>
      </w:r>
      <w:r w:rsidR="00474F66">
        <w:t xml:space="preserve">van het eigen vermogen </w:t>
      </w:r>
      <w:r w:rsidR="00C45F77">
        <w:t>incalcu</w:t>
      </w:r>
      <w:r w:rsidR="00A577EC">
        <w:t>leert</w:t>
      </w:r>
      <w:r w:rsidR="00C45F77">
        <w:t>. De vergoeding van het eigen vermogen</w:t>
      </w:r>
      <w:r w:rsidR="00474F66">
        <w:t xml:space="preserve"> </w:t>
      </w:r>
      <w:r w:rsidR="00C45F77">
        <w:t>biedt ook al ruimte</w:t>
      </w:r>
      <w:r w:rsidR="00474F66">
        <w:t xml:space="preserve"> voor reservevorming.</w:t>
      </w:r>
    </w:p>
    <w:p w14:paraId="4D734AC1" w14:textId="7190D400" w:rsidR="00F058A3" w:rsidRDefault="00474F66" w:rsidP="007C1471">
      <w:pPr>
        <w:pStyle w:val="Lijstalinea"/>
        <w:numPr>
          <w:ilvl w:val="0"/>
          <w:numId w:val="1"/>
        </w:numPr>
      </w:pPr>
      <w:r w:rsidRPr="00F058A3">
        <w:rPr>
          <w:b/>
          <w:bCs/>
        </w:rPr>
        <w:t xml:space="preserve">Onderhoudskosten: </w:t>
      </w:r>
      <w:r>
        <w:t xml:space="preserve">hoewel die </w:t>
      </w:r>
      <w:r w:rsidR="0018731B">
        <w:t xml:space="preserve">wel verband houden met de investering werden die niet opgenomen. </w:t>
      </w:r>
      <w:r w:rsidR="008B6CE1">
        <w:t>Het</w:t>
      </w:r>
      <w:r w:rsidR="00FB4812">
        <w:t xml:space="preserve"> aandeel in de gebruikersbijdrage </w:t>
      </w:r>
      <w:r w:rsidR="008B6CE1">
        <w:t xml:space="preserve">zou </w:t>
      </w:r>
      <w:r w:rsidR="00FB4812">
        <w:t xml:space="preserve">op </w:t>
      </w:r>
      <w:r w:rsidR="00801D8E">
        <w:t xml:space="preserve">langere </w:t>
      </w:r>
      <w:r w:rsidR="00FB4812">
        <w:t xml:space="preserve">termijn </w:t>
      </w:r>
      <w:r w:rsidR="003A358C">
        <w:t xml:space="preserve">door de bank genomen </w:t>
      </w:r>
      <w:r w:rsidR="00FB4812">
        <w:t>moeten overeenstemmen met de kost</w:t>
      </w:r>
      <w:r w:rsidR="00EB32BF">
        <w:t xml:space="preserve">. Het risico bestaat er echter in dat </w:t>
      </w:r>
      <w:r w:rsidR="00F113EE">
        <w:t>de verschillende evolutie van onderhoudskosten versus (vaste) bijdragen in de woonbijdrage leidt tot een grillig resultatenpatroon.</w:t>
      </w:r>
      <w:r w:rsidR="00462553">
        <w:t xml:space="preserve"> </w:t>
      </w:r>
      <w:r w:rsidR="00F113EE">
        <w:br/>
      </w:r>
      <w:r w:rsidR="00801D8E">
        <w:t xml:space="preserve">Gezien er een </w:t>
      </w:r>
      <w:r w:rsidR="00801D8E" w:rsidRPr="0054209E">
        <w:rPr>
          <w:b/>
          <w:bCs/>
        </w:rPr>
        <w:t>vaste bijdrage</w:t>
      </w:r>
      <w:r w:rsidR="00801D8E">
        <w:t xml:space="preserve"> is opgenomen</w:t>
      </w:r>
      <w:r w:rsidR="00EB1D9F">
        <w:t xml:space="preserve"> </w:t>
      </w:r>
      <w:r w:rsidR="00801D8E">
        <w:t xml:space="preserve">in de gebruikersbijdrage </w:t>
      </w:r>
      <w:r w:rsidR="001C6D5A">
        <w:t xml:space="preserve">en in een aanvangsfase weinig </w:t>
      </w:r>
      <w:r w:rsidR="00BC0233">
        <w:t>onderhoud wordt uitgevoerd</w:t>
      </w:r>
      <w:r w:rsidR="00A44F2A">
        <w:t>, zal dit in een aanvangsfase</w:t>
      </w:r>
      <w:r w:rsidR="00552CDE">
        <w:t xml:space="preserve"> dan ook</w:t>
      </w:r>
      <w:r w:rsidR="00A44F2A">
        <w:t xml:space="preserve"> tot </w:t>
      </w:r>
      <w:r w:rsidR="001E3B3C">
        <w:t xml:space="preserve">een </w:t>
      </w:r>
      <w:r w:rsidR="001E3B3C" w:rsidRPr="0054209E">
        <w:rPr>
          <w:b/>
          <w:bCs/>
        </w:rPr>
        <w:t>hogere</w:t>
      </w:r>
      <w:r w:rsidR="00A44F2A" w:rsidRPr="0054209E">
        <w:rPr>
          <w:b/>
          <w:bCs/>
        </w:rPr>
        <w:t xml:space="preserve"> </w:t>
      </w:r>
      <w:r w:rsidR="00037658" w:rsidRPr="0054209E">
        <w:rPr>
          <w:b/>
          <w:bCs/>
        </w:rPr>
        <w:t>effectieve</w:t>
      </w:r>
      <w:r w:rsidR="00A44F2A" w:rsidRPr="0054209E">
        <w:rPr>
          <w:b/>
          <w:bCs/>
        </w:rPr>
        <w:t xml:space="preserve"> winst leiden</w:t>
      </w:r>
      <w:r w:rsidR="00EB1D9F">
        <w:t xml:space="preserve"> (onderhoudscomponent in de gebruikersbijdrage &gt; </w:t>
      </w:r>
      <w:r w:rsidR="00BA7EDE">
        <w:t>onderhouds</w:t>
      </w:r>
      <w:r w:rsidR="00EB1D9F">
        <w:t>kost)</w:t>
      </w:r>
      <w:r w:rsidR="00A44F2A">
        <w:t>. In</w:t>
      </w:r>
      <w:r w:rsidR="00F308CC">
        <w:t xml:space="preserve"> een </w:t>
      </w:r>
      <w:r w:rsidR="00F308CC" w:rsidRPr="0054209E">
        <w:rPr>
          <w:b/>
          <w:bCs/>
        </w:rPr>
        <w:t>latere fase</w:t>
      </w:r>
      <w:r w:rsidR="00F308CC">
        <w:t xml:space="preserve"> z</w:t>
      </w:r>
      <w:r w:rsidR="00656CA8">
        <w:t xml:space="preserve">al in de </w:t>
      </w:r>
      <w:r w:rsidR="00656CA8" w:rsidRPr="0054209E">
        <w:rPr>
          <w:b/>
          <w:bCs/>
        </w:rPr>
        <w:t xml:space="preserve">jaren </w:t>
      </w:r>
      <w:r w:rsidR="0088064E" w:rsidRPr="0054209E">
        <w:rPr>
          <w:b/>
          <w:bCs/>
        </w:rPr>
        <w:t xml:space="preserve">met een groot </w:t>
      </w:r>
      <w:r w:rsidR="00656CA8" w:rsidRPr="0054209E">
        <w:rPr>
          <w:b/>
          <w:bCs/>
        </w:rPr>
        <w:t xml:space="preserve">onderhoud de </w:t>
      </w:r>
      <w:r w:rsidR="00055E15" w:rsidRPr="0054209E">
        <w:rPr>
          <w:b/>
          <w:bCs/>
        </w:rPr>
        <w:t>effectieve</w:t>
      </w:r>
      <w:r w:rsidR="00656CA8" w:rsidRPr="0054209E">
        <w:rPr>
          <w:b/>
          <w:bCs/>
        </w:rPr>
        <w:t xml:space="preserve"> winst worden gedrukt</w:t>
      </w:r>
      <w:r w:rsidR="00656CA8">
        <w:t xml:space="preserve"> of zullen er </w:t>
      </w:r>
      <w:r w:rsidR="001E3B3C">
        <w:t>zelfs</w:t>
      </w:r>
      <w:r w:rsidR="00552CDE">
        <w:t xml:space="preserve"> in bepaalde jaren</w:t>
      </w:r>
      <w:r w:rsidR="001E3B3C">
        <w:t xml:space="preserve"> tekorten zijn</w:t>
      </w:r>
      <w:r w:rsidR="00BA7EDE">
        <w:t xml:space="preserve"> (onderhoudscomponent in de gebruikersbijdrage </w:t>
      </w:r>
      <w:r w:rsidR="00D65F61">
        <w:t>&lt;</w:t>
      </w:r>
      <w:r w:rsidR="00BA7EDE">
        <w:t xml:space="preserve"> onderhoudskost)</w:t>
      </w:r>
      <w:r w:rsidR="001E3B3C">
        <w:t>.</w:t>
      </w:r>
    </w:p>
    <w:p w14:paraId="702636B2" w14:textId="749E103F" w:rsidR="001D20BD" w:rsidRDefault="0041229C" w:rsidP="00B34A8D">
      <w:r>
        <w:t xml:space="preserve">De infrastructuurcomponent </w:t>
      </w:r>
      <w:r w:rsidR="00866A13">
        <w:t>heeft betrek</w:t>
      </w:r>
      <w:r w:rsidR="00D5623D">
        <w:t>king</w:t>
      </w:r>
      <w:r w:rsidR="00866A13">
        <w:t xml:space="preserve"> op </w:t>
      </w:r>
      <w:r w:rsidR="00866A13" w:rsidRPr="002E6736">
        <w:rPr>
          <w:b/>
          <w:bCs/>
        </w:rPr>
        <w:t>alle zorgvormen die deel uitmaken van het VIPA-project</w:t>
      </w:r>
      <w:r w:rsidR="00866A13">
        <w:t xml:space="preserve"> waarvoor het forfait wordt verstrekt</w:t>
      </w:r>
      <w:r w:rsidR="001D20BD">
        <w:t xml:space="preserve"> (wonen/collectief en zorg/dagbesteding/ondersteunende diensten).</w:t>
      </w:r>
      <w:r w:rsidR="002E6736">
        <w:t xml:space="preserve"> Bv. indien het </w:t>
      </w:r>
      <w:r w:rsidR="00923E6E">
        <w:t xml:space="preserve">met het VIPA-forfait gesubsidieerde project 15 wonen en 10 collectief/zorg betreft dan vermeldt u </w:t>
      </w:r>
      <w:r w:rsidR="007820D4">
        <w:t>de infrastructuurcomponent van de</w:t>
      </w:r>
      <w:r w:rsidR="00923E6E">
        <w:t xml:space="preserve"> gebruikersbijdrage die </w:t>
      </w:r>
      <w:r w:rsidR="007820D4">
        <w:t>gevraagd wordt voor 15 wonen en 10 collectief/zorg.</w:t>
      </w:r>
    </w:p>
    <w:p w14:paraId="3F6732A5" w14:textId="7ED94482" w:rsidR="0096522A" w:rsidRDefault="00A7403E" w:rsidP="00B34A8D">
      <w:r>
        <w:t>Met betrekking tot het afzonderen van voornoemde pure infrastructuurelementen zijn er nog</w:t>
      </w:r>
      <w:r w:rsidR="007C1471">
        <w:t xml:space="preserve"> </w:t>
      </w:r>
      <w:r w:rsidR="007C1471" w:rsidRPr="00E16AD2">
        <w:rPr>
          <w:b/>
          <w:bCs/>
        </w:rPr>
        <w:t>volgende praktische aandachtspunten</w:t>
      </w:r>
      <w:r w:rsidR="007C1471">
        <w:t>:</w:t>
      </w:r>
    </w:p>
    <w:p w14:paraId="7DB1D190" w14:textId="626C9581" w:rsidR="0096522A" w:rsidRDefault="0096522A" w:rsidP="0096522A">
      <w:pPr>
        <w:pStyle w:val="Lijstalinea"/>
        <w:numPr>
          <w:ilvl w:val="0"/>
          <w:numId w:val="1"/>
        </w:numPr>
      </w:pPr>
      <w:r>
        <w:t xml:space="preserve">Mogelijks is de </w:t>
      </w:r>
      <w:r w:rsidR="008E303D">
        <w:t>bijdrage aan de woonkost of woonbijdrage</w:t>
      </w:r>
      <w:r>
        <w:t xml:space="preserve"> een </w:t>
      </w:r>
      <w:r w:rsidRPr="00E16AD2">
        <w:rPr>
          <w:b/>
          <w:bCs/>
        </w:rPr>
        <w:t xml:space="preserve">all-in bedrag </w:t>
      </w:r>
      <w:r w:rsidR="007C1471" w:rsidRPr="00E16AD2">
        <w:rPr>
          <w:b/>
          <w:bCs/>
        </w:rPr>
        <w:t>dat nog andere kosten</w:t>
      </w:r>
      <w:r w:rsidR="007C1471">
        <w:t xml:space="preserve"> dekt </w:t>
      </w:r>
      <w:r>
        <w:t xml:space="preserve">naast de pure infrastructuurkost </w:t>
      </w:r>
      <w:r w:rsidR="00451FFC">
        <w:t>(</w:t>
      </w:r>
      <w:r>
        <w:t>onder de vorm van afschrijvingen</w:t>
      </w:r>
      <w:r w:rsidR="00451FFC">
        <w:t xml:space="preserve"> – </w:t>
      </w:r>
      <w:r w:rsidR="00451FFC">
        <w:lastRenderedPageBreak/>
        <w:t>eventuele intrest –</w:t>
      </w:r>
      <w:r>
        <w:t xml:space="preserve"> huur</w:t>
      </w:r>
      <w:r w:rsidR="00451FFC">
        <w:t>…)</w:t>
      </w:r>
      <w:r>
        <w:t>. Om deze</w:t>
      </w:r>
      <w:r w:rsidR="007C1471">
        <w:t xml:space="preserve"> andere componenten</w:t>
      </w:r>
      <w:r>
        <w:t xml:space="preserve"> eruit weg te zuiveren</w:t>
      </w:r>
      <w:r w:rsidR="00290F64">
        <w:t xml:space="preserve">, kan </w:t>
      </w:r>
      <w:r w:rsidR="008B6381">
        <w:t>u</w:t>
      </w:r>
      <w:r w:rsidR="00B9614A">
        <w:t xml:space="preserve"> op </w:t>
      </w:r>
      <w:r w:rsidR="00436704">
        <w:t xml:space="preserve">verschillende wijzen te werk gaan </w:t>
      </w:r>
      <w:r w:rsidR="00436704" w:rsidRPr="008361FA">
        <w:rPr>
          <w:b/>
          <w:bCs/>
        </w:rPr>
        <w:t>zolang dit maar rationeel onderbouwd is</w:t>
      </w:r>
      <w:r>
        <w:t xml:space="preserve">: </w:t>
      </w:r>
    </w:p>
    <w:p w14:paraId="3FCBB1DD" w14:textId="4717B0DD" w:rsidR="0096522A" w:rsidRDefault="00D72A4F" w:rsidP="0096522A">
      <w:pPr>
        <w:pStyle w:val="Lijstalinea"/>
        <w:numPr>
          <w:ilvl w:val="1"/>
          <w:numId w:val="1"/>
        </w:numPr>
      </w:pPr>
      <w:r>
        <w:t>voor</w:t>
      </w:r>
      <w:r w:rsidR="0096522A">
        <w:t xml:space="preserve"> de </w:t>
      </w:r>
      <w:r w:rsidR="0096522A" w:rsidRPr="00D72A4F">
        <w:rPr>
          <w:b/>
          <w:bCs/>
        </w:rPr>
        <w:t>onderhoudskosten:</w:t>
      </w:r>
      <w:r w:rsidR="0096522A">
        <w:t xml:space="preserve"> </w:t>
      </w:r>
      <w:r w:rsidR="00436704">
        <w:t xml:space="preserve">indien </w:t>
      </w:r>
      <w:r w:rsidR="008361FA">
        <w:t xml:space="preserve">dit </w:t>
      </w:r>
      <w:r w:rsidR="00436704">
        <w:t>niet uit de boekhouding of contracten blijkt</w:t>
      </w:r>
      <w:r w:rsidR="0023012A">
        <w:t xml:space="preserve"> kan </w:t>
      </w:r>
      <w:r w:rsidR="00210B1A">
        <w:t>bv</w:t>
      </w:r>
      <w:r w:rsidR="0023012A">
        <w:t xml:space="preserve">. ook </w:t>
      </w:r>
      <w:r w:rsidR="0096522A">
        <w:t>een (historisch) bepaald onderhoudspercentage</w:t>
      </w:r>
      <w:r w:rsidR="007C1471">
        <w:t xml:space="preserve"> </w:t>
      </w:r>
      <w:r w:rsidR="0023012A">
        <w:t>op basis van historische gegevens worden toegepast</w:t>
      </w:r>
    </w:p>
    <w:p w14:paraId="0EBEC148" w14:textId="6C4BE33A" w:rsidR="0096522A" w:rsidRDefault="0096522A" w:rsidP="0096522A">
      <w:pPr>
        <w:pStyle w:val="Lijstalinea"/>
        <w:numPr>
          <w:ilvl w:val="1"/>
          <w:numId w:val="1"/>
        </w:numPr>
      </w:pPr>
      <w:r>
        <w:t xml:space="preserve">Voor </w:t>
      </w:r>
      <w:r w:rsidR="00060380">
        <w:t xml:space="preserve">de </w:t>
      </w:r>
      <w:r w:rsidRPr="00D72A4F">
        <w:rPr>
          <w:b/>
          <w:bCs/>
        </w:rPr>
        <w:t>verzekeringen</w:t>
      </w:r>
      <w:r w:rsidR="007C1471">
        <w:t xml:space="preserve">: </w:t>
      </w:r>
      <w:r w:rsidR="00210B1A">
        <w:t>bv</w:t>
      </w:r>
      <w:r w:rsidR="007C1471">
        <w:t>.</w:t>
      </w:r>
      <w:r w:rsidR="0023012A">
        <w:t xml:space="preserve"> de contracten of </w:t>
      </w:r>
      <w:r w:rsidR="007C1471">
        <w:t>het historische aandeel op basis van de boekhouding</w:t>
      </w:r>
      <w:r w:rsidR="008361FA">
        <w:t>…</w:t>
      </w:r>
    </w:p>
    <w:p w14:paraId="1458823F" w14:textId="5E41073D" w:rsidR="007C1471" w:rsidRDefault="007C1471" w:rsidP="007C1471">
      <w:pPr>
        <w:pStyle w:val="Lijstalinea"/>
        <w:numPr>
          <w:ilvl w:val="0"/>
          <w:numId w:val="1"/>
        </w:numPr>
      </w:pPr>
      <w:r>
        <w:t xml:space="preserve">De woonbijdrage heeft eventueel </w:t>
      </w:r>
      <w:r w:rsidR="00C9641F">
        <w:t xml:space="preserve"> voor een deel </w:t>
      </w:r>
      <w:r>
        <w:t xml:space="preserve">ook betrekking op </w:t>
      </w:r>
      <w:r w:rsidRPr="008361FA">
        <w:rPr>
          <w:b/>
          <w:bCs/>
        </w:rPr>
        <w:t>infrastructuur die niet door het voorliggende infrastructuurforfait wordt afgedekt</w:t>
      </w:r>
      <w:r>
        <w:t>. In dat geval kan ook een verdeelsleutel worden gehanteerd</w:t>
      </w:r>
      <w:r w:rsidR="00C9641F">
        <w:t xml:space="preserve"> om enkel het deel van de gebruikersbijdrage </w:t>
      </w:r>
      <w:proofErr w:type="spellStart"/>
      <w:r w:rsidR="00C9641F">
        <w:t>mbt</w:t>
      </w:r>
      <w:proofErr w:type="spellEnd"/>
      <w:r w:rsidR="00C9641F">
        <w:t xml:space="preserve"> het door </w:t>
      </w:r>
      <w:r w:rsidR="00C9641F" w:rsidRPr="005C6DE6">
        <w:rPr>
          <w:b/>
          <w:bCs/>
        </w:rPr>
        <w:t>VIPA</w:t>
      </w:r>
      <w:r w:rsidR="005C6DE6" w:rsidRPr="005C6DE6">
        <w:rPr>
          <w:b/>
          <w:bCs/>
        </w:rPr>
        <w:t xml:space="preserve">-forfait gedekte </w:t>
      </w:r>
      <w:r w:rsidR="00C9641F" w:rsidRPr="005C6DE6">
        <w:rPr>
          <w:b/>
          <w:bCs/>
        </w:rPr>
        <w:t>project</w:t>
      </w:r>
      <w:r w:rsidR="00C9641F">
        <w:t xml:space="preserve"> te bepalen</w:t>
      </w:r>
      <w:r>
        <w:t xml:space="preserve"> zoals </w:t>
      </w:r>
      <w:proofErr w:type="spellStart"/>
      <w:r>
        <w:t>bvb</w:t>
      </w:r>
      <w:proofErr w:type="spellEnd"/>
      <w:r>
        <w:t>. het aantal m².</w:t>
      </w:r>
    </w:p>
    <w:p w14:paraId="73E497E0" w14:textId="5867AAB3" w:rsidR="007C1471" w:rsidRPr="00BC5231" w:rsidRDefault="007C1471" w:rsidP="007C1471">
      <w:pPr>
        <w:pStyle w:val="Lijstalinea"/>
        <w:numPr>
          <w:ilvl w:val="0"/>
          <w:numId w:val="1"/>
        </w:numPr>
        <w:rPr>
          <w:b/>
          <w:bCs/>
        </w:rPr>
      </w:pPr>
      <w:r w:rsidRPr="0048433C">
        <w:t xml:space="preserve">In het geval dat het forfait wordt </w:t>
      </w:r>
      <w:r w:rsidRPr="00BC5231">
        <w:rPr>
          <w:b/>
          <w:bCs/>
        </w:rPr>
        <w:t>gesolidariseerd</w:t>
      </w:r>
      <w:r w:rsidR="00C9641F" w:rsidRPr="0048433C">
        <w:t xml:space="preserve"> zullen de gebruikerstoelage en het forfait samen te hoog zijn in verhouding tot de afschrijvingskost en </w:t>
      </w:r>
      <w:r w:rsidR="00C9641F" w:rsidRPr="00BC5231">
        <w:rPr>
          <w:b/>
          <w:bCs/>
        </w:rPr>
        <w:t xml:space="preserve">zal </w:t>
      </w:r>
      <w:r w:rsidR="00BC5231" w:rsidRPr="00BC5231">
        <w:rPr>
          <w:b/>
          <w:bCs/>
        </w:rPr>
        <w:t>dat</w:t>
      </w:r>
      <w:r w:rsidR="00C9641F" w:rsidRPr="00BC5231">
        <w:rPr>
          <w:b/>
          <w:bCs/>
        </w:rPr>
        <w:t xml:space="preserve"> vlugger aanleiding </w:t>
      </w:r>
      <w:r w:rsidR="00BC5231" w:rsidRPr="00BC5231">
        <w:rPr>
          <w:b/>
          <w:bCs/>
        </w:rPr>
        <w:t>geven</w:t>
      </w:r>
      <w:r w:rsidR="00C9641F" w:rsidRPr="00BC5231">
        <w:rPr>
          <w:b/>
          <w:bCs/>
        </w:rPr>
        <w:t xml:space="preserve"> tot </w:t>
      </w:r>
      <w:r w:rsidR="00F84D7E">
        <w:rPr>
          <w:b/>
          <w:bCs/>
        </w:rPr>
        <w:t>overcompensatie</w:t>
      </w:r>
      <w:r w:rsidR="00C9641F" w:rsidRPr="00BC5231">
        <w:rPr>
          <w:b/>
          <w:bCs/>
        </w:rPr>
        <w:t>.</w:t>
      </w:r>
    </w:p>
    <w:p w14:paraId="7D54CE41" w14:textId="77777777" w:rsidR="00EB0F86" w:rsidRPr="00F36AD4" w:rsidRDefault="00EB0F86" w:rsidP="00C9641F">
      <w:pPr>
        <w:rPr>
          <w:b/>
          <w:bCs/>
          <w:u w:val="single"/>
        </w:rPr>
      </w:pPr>
      <w:r w:rsidRPr="00F36AD4">
        <w:rPr>
          <w:b/>
          <w:bCs/>
          <w:u w:val="single"/>
        </w:rPr>
        <w:t>Praktische consequenties voor de invoer:</w:t>
      </w:r>
    </w:p>
    <w:p w14:paraId="6B48FDD9" w14:textId="6DAA7BB7" w:rsidR="00C9641F" w:rsidRDefault="00ED7CD2" w:rsidP="00EB0F86">
      <w:pPr>
        <w:pStyle w:val="Lijstalinea"/>
        <w:numPr>
          <w:ilvl w:val="0"/>
          <w:numId w:val="1"/>
        </w:numPr>
      </w:pPr>
      <w:r>
        <w:t>Er wordt sowieso een apart</w:t>
      </w:r>
      <w:r w:rsidR="00734B08">
        <w:t xml:space="preserve"> tabblad voorzien (“gebruikersbijdrage-detail”)</w:t>
      </w:r>
      <w:r w:rsidR="005659F9">
        <w:t xml:space="preserve"> </w:t>
      </w:r>
      <w:r w:rsidR="002A0F51">
        <w:t xml:space="preserve">voor de berekening van de infrastructuurcomponent in de woonbijdrage </w:t>
      </w:r>
      <w:r w:rsidR="005659F9">
        <w:t xml:space="preserve">waarin u </w:t>
      </w:r>
      <w:r w:rsidR="0051130E">
        <w:t xml:space="preserve">de component infrastructuur </w:t>
      </w:r>
      <w:r w:rsidR="006F224E">
        <w:t>bepaalt</w:t>
      </w:r>
      <w:r w:rsidR="0051130E">
        <w:t xml:space="preserve"> via hetzij:</w:t>
      </w:r>
    </w:p>
    <w:p w14:paraId="083D46E3" w14:textId="524D547B" w:rsidR="0051130E" w:rsidRDefault="0051130E" w:rsidP="00EB0F86">
      <w:pPr>
        <w:pStyle w:val="Lijstalinea"/>
        <w:numPr>
          <w:ilvl w:val="1"/>
          <w:numId w:val="1"/>
        </w:numPr>
      </w:pPr>
      <w:r w:rsidRPr="008E5799">
        <w:rPr>
          <w:b/>
          <w:bCs/>
        </w:rPr>
        <w:t>Optelling van de detailcomponenten</w:t>
      </w:r>
      <w:r w:rsidR="00105BB0">
        <w:t xml:space="preserve"> (variant A</w:t>
      </w:r>
      <w:r w:rsidR="00E520A2">
        <w:t>)</w:t>
      </w:r>
      <w:r w:rsidR="00BB3C58">
        <w:t xml:space="preserve">: indien </w:t>
      </w:r>
      <w:r w:rsidR="00B763DA">
        <w:t xml:space="preserve">die detailcomponenten </w:t>
      </w:r>
      <w:r w:rsidR="00BB3C58">
        <w:t xml:space="preserve">in de woonbijdrage </w:t>
      </w:r>
      <w:r w:rsidR="00B763DA">
        <w:t>ook gekend zijn</w:t>
      </w:r>
    </w:p>
    <w:p w14:paraId="68E97D4D" w14:textId="2AE6A6D0" w:rsidR="0051130E" w:rsidRDefault="00E520A2" w:rsidP="00EB0F86">
      <w:pPr>
        <w:pStyle w:val="Lijstalinea"/>
        <w:numPr>
          <w:ilvl w:val="1"/>
          <w:numId w:val="1"/>
        </w:numPr>
      </w:pPr>
      <w:r>
        <w:t xml:space="preserve">Woonbijdrage </w:t>
      </w:r>
      <w:r w:rsidR="00CC7E30">
        <w:t xml:space="preserve">die wordt </w:t>
      </w:r>
      <w:r w:rsidR="00CC7E30" w:rsidRPr="008E5799">
        <w:rPr>
          <w:b/>
          <w:bCs/>
        </w:rPr>
        <w:t>verminderd</w:t>
      </w:r>
      <w:r w:rsidR="00BB3C58" w:rsidRPr="008E5799">
        <w:rPr>
          <w:b/>
          <w:bCs/>
        </w:rPr>
        <w:t xml:space="preserve"> met de niet-infrastructuurcomponenten</w:t>
      </w:r>
      <w:r w:rsidR="00F05D2F">
        <w:t xml:space="preserve"> </w:t>
      </w:r>
      <w:r>
        <w:t>(variant B).</w:t>
      </w:r>
      <w:r w:rsidR="00E02DE6">
        <w:t xml:space="preserve"> In dit geval licht u toe </w:t>
      </w:r>
      <w:r w:rsidR="008E5799">
        <w:t>op welke wijze de niet-infrastructuurcomponenten werden afgezonderd.</w:t>
      </w:r>
    </w:p>
    <w:p w14:paraId="20197F53" w14:textId="133B12D5" w:rsidR="00E02DE6" w:rsidRDefault="00DD4612" w:rsidP="00E02DE6">
      <w:pPr>
        <w:pStyle w:val="Lijstalinea"/>
        <w:numPr>
          <w:ilvl w:val="0"/>
          <w:numId w:val="1"/>
        </w:numPr>
      </w:pPr>
      <w:r>
        <w:t xml:space="preserve">Bij </w:t>
      </w:r>
      <w:r w:rsidR="00E02DE6">
        <w:t xml:space="preserve">beide varianten </w:t>
      </w:r>
      <w:r w:rsidR="006B053E">
        <w:t xml:space="preserve">kan het voorkomen dat de woonbijdrage betrekking heeft op een </w:t>
      </w:r>
      <w:r w:rsidR="000B3DC9">
        <w:t>(</w:t>
      </w:r>
      <w:r w:rsidR="000B3DC9" w:rsidRPr="00DD4612">
        <w:rPr>
          <w:b/>
          <w:bCs/>
        </w:rPr>
        <w:t>deel van) investering die niet door het VIPA</w:t>
      </w:r>
      <w:r w:rsidR="00C0199F" w:rsidRPr="00DD4612">
        <w:rPr>
          <w:b/>
          <w:bCs/>
        </w:rPr>
        <w:t>-forfait</w:t>
      </w:r>
      <w:r w:rsidR="00C0199F">
        <w:t xml:space="preserve"> wordt gesubsidieerd. </w:t>
      </w:r>
      <w:r>
        <w:t>Om dit weg te zuiveren</w:t>
      </w:r>
      <w:r w:rsidR="00C0199F">
        <w:t xml:space="preserve"> kan dan ook een verdeelsleutel worden gebruikt (</w:t>
      </w:r>
      <w:proofErr w:type="spellStart"/>
      <w:r w:rsidR="00C0199F">
        <w:t>bvb</w:t>
      </w:r>
      <w:proofErr w:type="spellEnd"/>
      <w:r w:rsidR="00C0199F">
        <w:t>. aantal m²) waarvoor ook een voorbeeld is uitgewerkt in het tabblad “gebruikersbijdrage-detail”.</w:t>
      </w:r>
    </w:p>
    <w:p w14:paraId="5C4E25EE" w14:textId="60BE1354" w:rsidR="00C95336" w:rsidRDefault="000B2AC6" w:rsidP="00E02DE6">
      <w:pPr>
        <w:pStyle w:val="Lijstalinea"/>
        <w:numPr>
          <w:ilvl w:val="0"/>
          <w:numId w:val="1"/>
        </w:numPr>
      </w:pPr>
      <w:r>
        <w:t>Voor zowel de woonbijdrage zelf</w:t>
      </w:r>
      <w:r w:rsidR="00A924EA">
        <w:t>, de componenten hiervan of de vermelde verdeelsleutels kan altijd een verantwoordingsstuk worden opgevraagd</w:t>
      </w:r>
    </w:p>
    <w:p w14:paraId="23761276" w14:textId="5C7B8DCF" w:rsidR="00F44D1B" w:rsidRDefault="004664E3" w:rsidP="00621D16">
      <w:pPr>
        <w:pStyle w:val="Lijstalinea"/>
        <w:numPr>
          <w:ilvl w:val="0"/>
          <w:numId w:val="1"/>
        </w:numPr>
      </w:pPr>
      <w:r>
        <w:t xml:space="preserve">In het tabblad “fiche” onder “2.1 opbrengsten” kan u de </w:t>
      </w:r>
      <w:r w:rsidRPr="00527B4C">
        <w:rPr>
          <w:b/>
          <w:bCs/>
        </w:rPr>
        <w:t>variant aanduiden</w:t>
      </w:r>
      <w:r w:rsidR="00634620">
        <w:t xml:space="preserve"> onder </w:t>
      </w:r>
      <w:r w:rsidR="00634620" w:rsidRPr="00527B4C">
        <w:rPr>
          <w:b/>
          <w:bCs/>
        </w:rPr>
        <w:t>keuze variant</w:t>
      </w:r>
      <w:r>
        <w:t xml:space="preserve">. </w:t>
      </w:r>
      <w:r w:rsidR="00F44D1B">
        <w:t>Hierdoor wordt het passende bedrag</w:t>
      </w:r>
      <w:r w:rsidR="00AE1DAC">
        <w:t xml:space="preserve"> overgenomen uit het tabblad “gebruikersbijdrage – detail”.</w:t>
      </w:r>
    </w:p>
    <w:p w14:paraId="7D2601A2" w14:textId="07D3DD17" w:rsidR="00367BE9" w:rsidRPr="00EB0AA9" w:rsidRDefault="00367BE9" w:rsidP="00C9641F">
      <w:r w:rsidRPr="00EB0AA9">
        <w:t>2.2) kosten:</w:t>
      </w:r>
    </w:p>
    <w:p w14:paraId="65D57905" w14:textId="291C9DE8" w:rsidR="00367BE9" w:rsidRDefault="00367BE9" w:rsidP="00C9641F">
      <w:r w:rsidRPr="00367BE9">
        <w:t xml:space="preserve">De </w:t>
      </w:r>
      <w:r w:rsidRPr="008624C5">
        <w:rPr>
          <w:b/>
          <w:bCs/>
        </w:rPr>
        <w:t>afschrijving op het investeringsproject</w:t>
      </w:r>
      <w:r>
        <w:t xml:space="preserve"> wordt</w:t>
      </w:r>
      <w:r w:rsidR="000D3645">
        <w:t xml:space="preserve"> sowieso</w:t>
      </w:r>
      <w:r>
        <w:t xml:space="preserve"> automatisch berekend op basis van de </w:t>
      </w:r>
      <w:r w:rsidRPr="008624C5">
        <w:rPr>
          <w:b/>
          <w:bCs/>
        </w:rPr>
        <w:t>afschrijvingstermijnen</w:t>
      </w:r>
      <w:r>
        <w:t>.</w:t>
      </w:r>
    </w:p>
    <w:p w14:paraId="16981B71" w14:textId="27B558E0" w:rsidR="00B91513" w:rsidRDefault="008624C5" w:rsidP="00C9641F">
      <w:r>
        <w:t xml:space="preserve">Daarnaast zijn er nog een beperkt aantal kosten </w:t>
      </w:r>
      <w:r w:rsidR="00A173CB">
        <w:t>die u zelf kan ingeven</w:t>
      </w:r>
      <w:r w:rsidR="00B91513">
        <w:t>:</w:t>
      </w:r>
    </w:p>
    <w:p w14:paraId="1B5E2DD3" w14:textId="5501B3B7" w:rsidR="0081223B" w:rsidRDefault="00B91513" w:rsidP="00C9641F">
      <w:r>
        <w:t xml:space="preserve">- </w:t>
      </w:r>
      <w:r w:rsidR="008B6381">
        <w:t xml:space="preserve">de </w:t>
      </w:r>
      <w:r w:rsidR="00A052BC" w:rsidRPr="00293CDD">
        <w:rPr>
          <w:b/>
          <w:bCs/>
        </w:rPr>
        <w:t>periodieke vergoeding</w:t>
      </w:r>
      <w:r w:rsidRPr="000C181C">
        <w:rPr>
          <w:b/>
          <w:bCs/>
        </w:rPr>
        <w:t xml:space="preserve"> </w:t>
      </w:r>
      <w:r w:rsidR="00293CDD">
        <w:rPr>
          <w:b/>
          <w:bCs/>
        </w:rPr>
        <w:t xml:space="preserve">voor </w:t>
      </w:r>
      <w:r w:rsidRPr="000C181C">
        <w:rPr>
          <w:b/>
          <w:bCs/>
        </w:rPr>
        <w:t>het gebouw</w:t>
      </w:r>
      <w:r>
        <w:t xml:space="preserve"> </w:t>
      </w:r>
      <w:r w:rsidR="00A052BC">
        <w:t xml:space="preserve">dat door een derde ter beschikking wordt gesteld </w:t>
      </w:r>
      <w:r w:rsidR="00874104">
        <w:t xml:space="preserve">in zoverre dat </w:t>
      </w:r>
      <w:r w:rsidR="00BF1EF5">
        <w:t>die</w:t>
      </w:r>
      <w:r w:rsidR="00874104">
        <w:t xml:space="preserve"> betrekking heeft op het</w:t>
      </w:r>
      <w:r>
        <w:t xml:space="preserve"> </w:t>
      </w:r>
      <w:proofErr w:type="spellStart"/>
      <w:r>
        <w:t>zorggerelateerde</w:t>
      </w:r>
      <w:proofErr w:type="spellEnd"/>
      <w:r>
        <w:t xml:space="preserve"> deel </w:t>
      </w:r>
      <w:r w:rsidR="00874104">
        <w:t>dat voorwerp is van het VIPA-forfait</w:t>
      </w:r>
      <w:r w:rsidR="0078369C">
        <w:t xml:space="preserve">. Dit zal zeker het geval zijn wanneer </w:t>
      </w:r>
      <w:r w:rsidR="00A63E1B">
        <w:t xml:space="preserve">u </w:t>
      </w:r>
      <w:r w:rsidR="00FF6CCC">
        <w:t xml:space="preserve"> onder 1.2.2 </w:t>
      </w:r>
      <w:r w:rsidR="00A63E1B">
        <w:t>“ja “ heeft geantwoord op de vraag naar afschrijving door de verhuurder</w:t>
      </w:r>
      <w:r w:rsidR="00FF6CCC">
        <w:t xml:space="preserve">. In dat geval is er geen afschrijvingskost bij </w:t>
      </w:r>
      <w:r w:rsidR="00CD554F">
        <w:t>u als aanvrager</w:t>
      </w:r>
      <w:r w:rsidR="00FF6CCC">
        <w:t xml:space="preserve"> maar wordt dit </w:t>
      </w:r>
      <w:r w:rsidR="00FC512C">
        <w:t xml:space="preserve">verrekend in de periodieke </w:t>
      </w:r>
      <w:r w:rsidR="00CD554F">
        <w:t xml:space="preserve">vergoeding voor ter beschikking stelling. </w:t>
      </w:r>
      <w:r w:rsidR="005D2085">
        <w:t xml:space="preserve">Uit </w:t>
      </w:r>
      <w:r w:rsidR="00CD554F">
        <w:t>die periodieke vergoeding</w:t>
      </w:r>
      <w:r w:rsidR="005D2085">
        <w:t xml:space="preserve"> mag dan enkel het kapitaaldeel </w:t>
      </w:r>
      <w:r w:rsidR="00471AB1">
        <w:t xml:space="preserve">als kost </w:t>
      </w:r>
      <w:r w:rsidR="005D2085">
        <w:t>worden opgenomen</w:t>
      </w:r>
      <w:r>
        <w:t>;</w:t>
      </w:r>
      <w:r w:rsidR="00A173CB">
        <w:br/>
      </w:r>
      <w:r>
        <w:t>-</w:t>
      </w:r>
      <w:r w:rsidR="008B6381">
        <w:t xml:space="preserve"> de</w:t>
      </w:r>
      <w:r>
        <w:t xml:space="preserve"> </w:t>
      </w:r>
      <w:r w:rsidR="000C181C" w:rsidRPr="00874104">
        <w:rPr>
          <w:b/>
          <w:bCs/>
        </w:rPr>
        <w:t xml:space="preserve">canon </w:t>
      </w:r>
      <w:r w:rsidR="00B37822" w:rsidRPr="00874104">
        <w:rPr>
          <w:b/>
          <w:bCs/>
        </w:rPr>
        <w:t>m.b.t.</w:t>
      </w:r>
      <w:r w:rsidR="00B37822">
        <w:rPr>
          <w:b/>
          <w:bCs/>
        </w:rPr>
        <w:t xml:space="preserve"> de</w:t>
      </w:r>
      <w:r w:rsidR="000C181C" w:rsidRPr="00874104">
        <w:rPr>
          <w:b/>
          <w:bCs/>
        </w:rPr>
        <w:t xml:space="preserve"> </w:t>
      </w:r>
      <w:r w:rsidRPr="00874104">
        <w:rPr>
          <w:b/>
          <w:bCs/>
        </w:rPr>
        <w:t xml:space="preserve">erfpacht </w:t>
      </w:r>
      <w:r w:rsidR="000C181C" w:rsidRPr="00874104">
        <w:rPr>
          <w:b/>
          <w:bCs/>
        </w:rPr>
        <w:t xml:space="preserve">of </w:t>
      </w:r>
      <w:r w:rsidR="00B37822">
        <w:rPr>
          <w:b/>
          <w:bCs/>
        </w:rPr>
        <w:t xml:space="preserve">het </w:t>
      </w:r>
      <w:r w:rsidR="000C181C" w:rsidRPr="00874104">
        <w:rPr>
          <w:b/>
          <w:bCs/>
        </w:rPr>
        <w:t>solarium op</w:t>
      </w:r>
      <w:r w:rsidR="00B37822">
        <w:rPr>
          <w:b/>
          <w:bCs/>
        </w:rPr>
        <w:t xml:space="preserve"> de</w:t>
      </w:r>
      <w:r w:rsidR="000C181C" w:rsidRPr="00874104">
        <w:rPr>
          <w:b/>
          <w:bCs/>
        </w:rPr>
        <w:t xml:space="preserve"> opstal</w:t>
      </w:r>
      <w:r w:rsidR="000C181C">
        <w:t xml:space="preserve"> </w:t>
      </w:r>
      <w:r>
        <w:t xml:space="preserve">op </w:t>
      </w:r>
      <w:r w:rsidR="00367BE9">
        <w:t>een grond</w:t>
      </w:r>
      <w:r w:rsidR="00874104">
        <w:t xml:space="preserve"> voor het deel </w:t>
      </w:r>
      <w:r w:rsidR="005B7D52">
        <w:t>waarop het VIPA-forfait-gerechtigde project is opgetrokken;</w:t>
      </w:r>
      <w:r w:rsidR="00A173CB">
        <w:br/>
      </w:r>
      <w:r w:rsidR="000C181C">
        <w:t xml:space="preserve">- </w:t>
      </w:r>
      <w:r w:rsidR="00367BE9">
        <w:t xml:space="preserve">de </w:t>
      </w:r>
      <w:r w:rsidR="000C181C" w:rsidRPr="000C181C">
        <w:rPr>
          <w:b/>
          <w:bCs/>
        </w:rPr>
        <w:t xml:space="preserve">verhoging van de </w:t>
      </w:r>
      <w:r w:rsidR="00367BE9" w:rsidRPr="000C181C">
        <w:rPr>
          <w:b/>
          <w:bCs/>
        </w:rPr>
        <w:t>patrimoniumtaks</w:t>
      </w:r>
      <w:r w:rsidR="00367BE9">
        <w:t xml:space="preserve"> ten gevolge van het </w:t>
      </w:r>
      <w:r w:rsidR="005B7D52">
        <w:t xml:space="preserve"> VIPA-forfaitgerechtigde </w:t>
      </w:r>
      <w:r w:rsidR="00367BE9">
        <w:lastRenderedPageBreak/>
        <w:t>investeringsproject</w:t>
      </w:r>
      <w:r w:rsidR="0081223B">
        <w:br/>
        <w:t xml:space="preserve">- eventueel ook de </w:t>
      </w:r>
      <w:r w:rsidR="0081223B" w:rsidRPr="00200A92">
        <w:rPr>
          <w:b/>
          <w:bCs/>
        </w:rPr>
        <w:t>gemeenschappelijke kosten</w:t>
      </w:r>
      <w:r w:rsidR="0081223B">
        <w:t xml:space="preserve"> die toerekenbaar zijn aan de </w:t>
      </w:r>
      <w:r w:rsidR="00200A92">
        <w:t>infrastructuur.</w:t>
      </w:r>
    </w:p>
    <w:p w14:paraId="52F888F9" w14:textId="6F034ED7" w:rsidR="00367BE9" w:rsidRDefault="00367BE9" w:rsidP="00C9641F">
      <w:r>
        <w:t>Die kosten kunnen dan onder 2.2 worden opgenomen.</w:t>
      </w:r>
      <w:r w:rsidR="00254863">
        <w:t xml:space="preserve"> De verantwoordingsstukken hiervoor worden ter beschikking gehouden</w:t>
      </w:r>
      <w:r w:rsidR="001C206C">
        <w:t xml:space="preserve"> als ze niet voorkomen in het reguliere VIPA-dossier (of niet meer actueel zijn).</w:t>
      </w:r>
    </w:p>
    <w:p w14:paraId="7DF9E927" w14:textId="37F5BED2" w:rsidR="00200A92" w:rsidRDefault="00200A92" w:rsidP="00C9641F">
      <w:r>
        <w:t>Belangrijke aandachtspunten:</w:t>
      </w:r>
    </w:p>
    <w:p w14:paraId="13FB22A3" w14:textId="469528B8" w:rsidR="00895A25" w:rsidRDefault="00200A92" w:rsidP="00C9641F">
      <w:r>
        <w:t xml:space="preserve">- </w:t>
      </w:r>
      <w:r w:rsidR="00EF55B9">
        <w:t>N</w:t>
      </w:r>
      <w:r w:rsidR="00337C6C">
        <w:t>og even ter herhaling dat kosten zoals canon erfpacht – patrimoniumtaks – gemeenschappelijke kosten maar kunnen opgenomen worden</w:t>
      </w:r>
      <w:r w:rsidR="00513317">
        <w:t xml:space="preserve"> indien ze ook bij de gebruikersbijdrage werden opgenomen. De te volgen </w:t>
      </w:r>
      <w:r w:rsidR="00513317" w:rsidRPr="00CA164E">
        <w:rPr>
          <w:b/>
          <w:bCs/>
        </w:rPr>
        <w:t>gouden regel is dus de 1-op-1-relatie</w:t>
      </w:r>
      <w:r w:rsidR="00513317">
        <w:t xml:space="preserve">: kosten kunnen maar worden opgenomen indien </w:t>
      </w:r>
      <w:r w:rsidR="00CA164E">
        <w:t>ze ook bij de opbrengsten onder de gebruikersbijdrage werden opgenomen.</w:t>
      </w:r>
    </w:p>
    <w:p w14:paraId="036137E2" w14:textId="79B513C5" w:rsidR="00E35557" w:rsidRPr="00367BE9" w:rsidRDefault="00895A25" w:rsidP="00C9641F">
      <w:r>
        <w:t xml:space="preserve">- </w:t>
      </w:r>
      <w:r w:rsidR="00E35557">
        <w:t xml:space="preserve"> </w:t>
      </w:r>
      <w:r w:rsidR="00EF55B9">
        <w:rPr>
          <w:b/>
          <w:bCs/>
        </w:rPr>
        <w:t>I</w:t>
      </w:r>
      <w:r w:rsidR="00E35557" w:rsidRPr="008143FB">
        <w:rPr>
          <w:b/>
          <w:bCs/>
        </w:rPr>
        <w:t xml:space="preserve">ntrestkost </w:t>
      </w:r>
      <w:r w:rsidR="00200A92">
        <w:rPr>
          <w:b/>
          <w:bCs/>
        </w:rPr>
        <w:t xml:space="preserve">wordt </w:t>
      </w:r>
      <w:r w:rsidR="00E35557" w:rsidRPr="008143FB">
        <w:rPr>
          <w:b/>
          <w:bCs/>
        </w:rPr>
        <w:t>hier</w:t>
      </w:r>
      <w:r w:rsidR="00615A5C">
        <w:rPr>
          <w:b/>
          <w:bCs/>
        </w:rPr>
        <w:t xml:space="preserve"> bij de kosten</w:t>
      </w:r>
      <w:r w:rsidR="00E35557" w:rsidRPr="008143FB">
        <w:rPr>
          <w:b/>
          <w:bCs/>
        </w:rPr>
        <w:t xml:space="preserve"> niet expliciet opgenomen</w:t>
      </w:r>
      <w:r w:rsidR="00E35557">
        <w:t xml:space="preserve"> en anderzijds </w:t>
      </w:r>
      <w:r w:rsidR="001708CF">
        <w:t xml:space="preserve">dient </w:t>
      </w:r>
      <w:r w:rsidR="00E35557">
        <w:t xml:space="preserve">de </w:t>
      </w:r>
      <w:r w:rsidR="00B054DC" w:rsidRPr="008143FB">
        <w:rPr>
          <w:b/>
          <w:bCs/>
        </w:rPr>
        <w:t>doorgerekende intrest in de gebruikersbijdrage</w:t>
      </w:r>
      <w:r w:rsidR="00615A5C">
        <w:rPr>
          <w:b/>
          <w:bCs/>
        </w:rPr>
        <w:t xml:space="preserve"> aan de opbrengstenzijde</w:t>
      </w:r>
      <w:r w:rsidR="00B054DC" w:rsidRPr="008143FB">
        <w:rPr>
          <w:b/>
          <w:bCs/>
        </w:rPr>
        <w:t xml:space="preserve"> wel </w:t>
      </w:r>
      <w:r w:rsidR="008143FB" w:rsidRPr="008143FB">
        <w:rPr>
          <w:b/>
          <w:bCs/>
        </w:rPr>
        <w:t xml:space="preserve">te worden </w:t>
      </w:r>
      <w:r w:rsidR="00B054DC" w:rsidRPr="008143FB">
        <w:rPr>
          <w:b/>
          <w:bCs/>
        </w:rPr>
        <w:t>opgenomen</w:t>
      </w:r>
      <w:r w:rsidR="00B054DC">
        <w:t xml:space="preserve">. </w:t>
      </w:r>
      <w:r w:rsidR="00615A5C">
        <w:t xml:space="preserve">Dit </w:t>
      </w:r>
      <w:r w:rsidR="001708CF">
        <w:t xml:space="preserve">druist </w:t>
      </w:r>
      <w:r w:rsidR="000F6DDC">
        <w:t xml:space="preserve">echter </w:t>
      </w:r>
      <w:r w:rsidR="001708CF">
        <w:t>niet in tegen het principe van 1-op-</w:t>
      </w:r>
      <w:r>
        <w:t>1-relatie van de opbrengsten en kosten</w:t>
      </w:r>
      <w:r w:rsidR="00615A5C">
        <w:t xml:space="preserve">. </w:t>
      </w:r>
      <w:r w:rsidR="00B054DC">
        <w:t xml:space="preserve">Er wordt </w:t>
      </w:r>
      <w:r w:rsidR="000F6DDC">
        <w:t>immers</w:t>
      </w:r>
      <w:r w:rsidR="00B054DC">
        <w:t xml:space="preserve"> wel degelijk met de </w:t>
      </w:r>
      <w:r w:rsidR="00B054DC" w:rsidRPr="00895A25">
        <w:rPr>
          <w:b/>
          <w:bCs/>
        </w:rPr>
        <w:t>intrest aan de kostenzijde</w:t>
      </w:r>
      <w:r w:rsidR="00B054DC">
        <w:t xml:space="preserve"> rekening gehouden via</w:t>
      </w:r>
      <w:r w:rsidR="00550F6F">
        <w:t xml:space="preserve"> de</w:t>
      </w:r>
      <w:r w:rsidR="00B054DC">
        <w:t xml:space="preserve"> opname </w:t>
      </w:r>
      <w:r w:rsidR="00296A17">
        <w:t>van de financieringskost van de f</w:t>
      </w:r>
      <w:r w:rsidR="004704EE">
        <w:t xml:space="preserve">inanciële schulden in de </w:t>
      </w:r>
      <w:r w:rsidR="006E3AD9">
        <w:t xml:space="preserve">toelaatbare </w:t>
      </w:r>
      <w:r w:rsidR="004704EE">
        <w:t>ROCE</w:t>
      </w:r>
      <w:r w:rsidR="006E3AD9">
        <w:t xml:space="preserve"> of financieringskost</w:t>
      </w:r>
      <w:r w:rsidR="004704EE">
        <w:t>. Die verhoogt de ROCE en laat dus een  hogere toelaa</w:t>
      </w:r>
      <w:r w:rsidR="00A033A4">
        <w:t>tbare winst (vóór intrest) toe.</w:t>
      </w:r>
    </w:p>
    <w:p w14:paraId="16779FEA" w14:textId="0C3E7BFC" w:rsidR="00450F3B" w:rsidRPr="00E35557" w:rsidRDefault="00C9641F">
      <w:pPr>
        <w:rPr>
          <w:lang w:val="en-US"/>
        </w:rPr>
      </w:pPr>
      <w:r w:rsidRPr="00E35557">
        <w:rPr>
          <w:lang w:val="en-US"/>
        </w:rPr>
        <w:t xml:space="preserve">3) </w:t>
      </w:r>
      <w:proofErr w:type="spellStart"/>
      <w:r w:rsidRPr="005074BE">
        <w:rPr>
          <w:b/>
          <w:bCs/>
          <w:lang w:val="en-US"/>
        </w:rPr>
        <w:t>toelaatbare</w:t>
      </w:r>
      <w:proofErr w:type="spellEnd"/>
      <w:r w:rsidRPr="005074BE">
        <w:rPr>
          <w:b/>
          <w:bCs/>
          <w:lang w:val="en-US"/>
        </w:rPr>
        <w:t xml:space="preserve"> ROCE (return on capital employed)</w:t>
      </w:r>
      <w:r w:rsidR="00576E66">
        <w:rPr>
          <w:b/>
          <w:bCs/>
          <w:lang w:val="en-US"/>
        </w:rPr>
        <w:t xml:space="preserve"> of </w:t>
      </w:r>
      <w:proofErr w:type="spellStart"/>
      <w:r w:rsidR="00576E66">
        <w:rPr>
          <w:b/>
          <w:bCs/>
          <w:lang w:val="en-US"/>
        </w:rPr>
        <w:t>financieringskost</w:t>
      </w:r>
      <w:proofErr w:type="spellEnd"/>
      <w:r w:rsidRPr="005074BE">
        <w:rPr>
          <w:b/>
          <w:bCs/>
          <w:lang w:val="en-US"/>
        </w:rPr>
        <w:t>:</w:t>
      </w:r>
    </w:p>
    <w:p w14:paraId="47CBD85D" w14:textId="35B9B02C" w:rsidR="00561E2A" w:rsidRDefault="00C9641F">
      <w:r>
        <w:t xml:space="preserve">De toelaatbare ROCE </w:t>
      </w:r>
      <w:r w:rsidR="008405E1">
        <w:t xml:space="preserve">(Return on </w:t>
      </w:r>
      <w:proofErr w:type="spellStart"/>
      <w:r w:rsidR="008405E1">
        <w:t>capital</w:t>
      </w:r>
      <w:proofErr w:type="spellEnd"/>
      <w:r w:rsidR="008405E1">
        <w:t xml:space="preserve"> </w:t>
      </w:r>
      <w:proofErr w:type="spellStart"/>
      <w:r w:rsidR="008405E1">
        <w:t>employed</w:t>
      </w:r>
      <w:proofErr w:type="spellEnd"/>
      <w:r w:rsidR="008405E1">
        <w:t>) is eerder op te vatten</w:t>
      </w:r>
      <w:r w:rsidR="00A5278C">
        <w:t xml:space="preserve"> als een </w:t>
      </w:r>
      <w:r w:rsidR="00152717">
        <w:t xml:space="preserve">gewogen </w:t>
      </w:r>
      <w:r w:rsidR="0039730C">
        <w:t xml:space="preserve">toegelaten </w:t>
      </w:r>
      <w:r w:rsidR="00152717">
        <w:t xml:space="preserve">financieringskost op basis van de financieringsbronnen van de </w:t>
      </w:r>
      <w:r w:rsidR="00CC66B6">
        <w:t>voorziening</w:t>
      </w:r>
      <w:r w:rsidR="00152717">
        <w:t xml:space="preserve">. </w:t>
      </w:r>
      <w:r w:rsidR="00561E2A">
        <w:t xml:space="preserve">Europa laat dus toe dat die financieringskost verdiend wordt op het investeringsproject </w:t>
      </w:r>
      <w:r w:rsidR="004F47C1">
        <w:t xml:space="preserve">waardoor </w:t>
      </w:r>
      <w:r w:rsidR="00561E2A">
        <w:t xml:space="preserve">zowel de intresten op leningen kunnen betaald worden </w:t>
      </w:r>
      <w:r w:rsidR="00B0126F">
        <w:t xml:space="preserve">als dat er een vergoeding aan het eigen vermogen wordt </w:t>
      </w:r>
      <w:r w:rsidR="0039730C">
        <w:t>opgebouwd</w:t>
      </w:r>
      <w:r w:rsidR="00B0126F">
        <w:t>.</w:t>
      </w:r>
      <w:r w:rsidR="00C85E4B">
        <w:t xml:space="preserve"> Die laatste </w:t>
      </w:r>
      <w:r w:rsidR="00885656">
        <w:t xml:space="preserve">draagt dan ook bij aan de </w:t>
      </w:r>
      <w:r w:rsidR="00C85E4B">
        <w:t>reserves voor toekomstige investeringen.</w:t>
      </w:r>
    </w:p>
    <w:p w14:paraId="353A6936" w14:textId="0C4AE232" w:rsidR="00C9641F" w:rsidRDefault="007854FF">
      <w:r>
        <w:t>De berekening is dus</w:t>
      </w:r>
      <w:r w:rsidR="00C9641F">
        <w:t xml:space="preserve"> op basis van het aandeel eigen vermogen en financiële schulden vermenigvuldigd met hun respectievelijke financieringskosten.</w:t>
      </w:r>
    </w:p>
    <w:p w14:paraId="2FD44233" w14:textId="7262D0BA" w:rsidR="007854FF" w:rsidRDefault="007854FF">
      <w:r>
        <w:t xml:space="preserve">Indien </w:t>
      </w:r>
      <w:r w:rsidR="00B53B05">
        <w:t>u als aanvrager</w:t>
      </w:r>
      <w:r w:rsidR="00A61C2E">
        <w:t xml:space="preserve"> op basis van uw balans</w:t>
      </w:r>
      <w:r>
        <w:t xml:space="preserve"> </w:t>
      </w:r>
      <w:proofErr w:type="spellStart"/>
      <w:r>
        <w:t>bvb</w:t>
      </w:r>
      <w:proofErr w:type="spellEnd"/>
      <w:r>
        <w:t>. 60% eigen vermogen en 40% leningen heeft</w:t>
      </w:r>
      <w:r w:rsidR="00844D77">
        <w:t xml:space="preserve"> en de financieringskosten resp. 4% en 1.5% bedragen</w:t>
      </w:r>
      <w:r w:rsidR="00FF2B4D">
        <w:t>, dan is de ROCE:</w:t>
      </w:r>
    </w:p>
    <w:p w14:paraId="7142266D" w14:textId="6268AD08" w:rsidR="00FF2B4D" w:rsidRDefault="00FF2B4D">
      <w:r>
        <w:t>0.6*4% + 0.4*1.5%= 3%.</w:t>
      </w:r>
    </w:p>
    <w:p w14:paraId="64C2FCF9" w14:textId="23CF7807" w:rsidR="00287BBD" w:rsidRDefault="00287BBD">
      <w:r>
        <w:t xml:space="preserve">Hierna </w:t>
      </w:r>
      <w:r w:rsidR="00411656">
        <w:t xml:space="preserve">volgt </w:t>
      </w:r>
      <w:r>
        <w:t>een verdere toelichting van:</w:t>
      </w:r>
    </w:p>
    <w:p w14:paraId="6B88357F" w14:textId="07ADEF2C" w:rsidR="00287BBD" w:rsidRDefault="005915C1" w:rsidP="00287BBD">
      <w:pPr>
        <w:pStyle w:val="Lijstalinea"/>
        <w:numPr>
          <w:ilvl w:val="0"/>
          <w:numId w:val="1"/>
        </w:numPr>
      </w:pPr>
      <w:r>
        <w:t>d</w:t>
      </w:r>
      <w:r w:rsidR="00411656">
        <w:t xml:space="preserve">e bepaling van het </w:t>
      </w:r>
      <w:r w:rsidR="00287BBD">
        <w:t xml:space="preserve">aandeel </w:t>
      </w:r>
      <w:r w:rsidR="00003F2F">
        <w:t xml:space="preserve">van de financieringsvormen </w:t>
      </w:r>
      <w:r w:rsidR="00287BBD">
        <w:t xml:space="preserve">eigen vermogen </w:t>
      </w:r>
      <w:proofErr w:type="spellStart"/>
      <w:r w:rsidR="00287BBD">
        <w:t>vs</w:t>
      </w:r>
      <w:proofErr w:type="spellEnd"/>
      <w:r w:rsidR="00287BBD">
        <w:t xml:space="preserve"> financiële schulden</w:t>
      </w:r>
      <w:r w:rsidR="00003F2F">
        <w:t>;</w:t>
      </w:r>
    </w:p>
    <w:p w14:paraId="011FB009" w14:textId="1094030D" w:rsidR="00287BBD" w:rsidRDefault="005915C1" w:rsidP="00287BBD">
      <w:pPr>
        <w:pStyle w:val="Lijstalinea"/>
        <w:numPr>
          <w:ilvl w:val="0"/>
          <w:numId w:val="1"/>
        </w:numPr>
      </w:pPr>
      <w:r>
        <w:t>d</w:t>
      </w:r>
      <w:r w:rsidR="00411656">
        <w:t xml:space="preserve">e bepaling van </w:t>
      </w:r>
      <w:r w:rsidR="00A53E08">
        <w:t>de financieringskosten</w:t>
      </w:r>
      <w:r w:rsidR="00003F2F">
        <w:t xml:space="preserve"> van die financieringsvormen.</w:t>
      </w:r>
    </w:p>
    <w:p w14:paraId="3B4F7DEF" w14:textId="3D46EF10" w:rsidR="00A53E08" w:rsidRDefault="00A53E08" w:rsidP="00C9641F">
      <w:r>
        <w:t xml:space="preserve">3.1 </w:t>
      </w:r>
      <w:r w:rsidRPr="003D2848">
        <w:rPr>
          <w:u w:val="single"/>
        </w:rPr>
        <w:t xml:space="preserve">bepaling aandeel </w:t>
      </w:r>
      <w:r w:rsidR="004F73BE">
        <w:rPr>
          <w:u w:val="single"/>
        </w:rPr>
        <w:t xml:space="preserve">financieringsvormen </w:t>
      </w:r>
      <w:r w:rsidRPr="003D2848">
        <w:rPr>
          <w:u w:val="single"/>
        </w:rPr>
        <w:t xml:space="preserve">eigen vermogen </w:t>
      </w:r>
      <w:proofErr w:type="spellStart"/>
      <w:r w:rsidRPr="003D2848">
        <w:rPr>
          <w:u w:val="single"/>
        </w:rPr>
        <w:t>vs</w:t>
      </w:r>
      <w:proofErr w:type="spellEnd"/>
      <w:r w:rsidRPr="003D2848">
        <w:rPr>
          <w:u w:val="single"/>
        </w:rPr>
        <w:t xml:space="preserve"> </w:t>
      </w:r>
      <w:r w:rsidR="00F15A38" w:rsidRPr="003D2848">
        <w:rPr>
          <w:u w:val="single"/>
        </w:rPr>
        <w:t>financiële schulden:</w:t>
      </w:r>
      <w:r w:rsidR="00C9641F" w:rsidRPr="003D2848">
        <w:rPr>
          <w:u w:val="single"/>
        </w:rPr>
        <w:t xml:space="preserve"> </w:t>
      </w:r>
    </w:p>
    <w:p w14:paraId="56F53888" w14:textId="5F80B92D" w:rsidR="00E16AD2" w:rsidRDefault="00C9641F" w:rsidP="00C9641F">
      <w:r>
        <w:t xml:space="preserve">Het aandeel van </w:t>
      </w:r>
      <w:r w:rsidR="005915C1">
        <w:t xml:space="preserve">het </w:t>
      </w:r>
      <w:r>
        <w:t>eigen vermogen en</w:t>
      </w:r>
      <w:r w:rsidR="005915C1">
        <w:t xml:space="preserve"> de</w:t>
      </w:r>
      <w:r>
        <w:t xml:space="preserve"> financiële schulden wordt bepaald op basis van</w:t>
      </w:r>
      <w:r w:rsidR="00E16AD2">
        <w:t>:</w:t>
      </w:r>
    </w:p>
    <w:p w14:paraId="367F5F7E" w14:textId="316377F0" w:rsidR="00DD1DAB" w:rsidRDefault="00E16AD2">
      <w:r>
        <w:t xml:space="preserve">(1) de balans van de aanvrager (of </w:t>
      </w:r>
      <w:r w:rsidR="004F73BE">
        <w:t>van een</w:t>
      </w:r>
      <w:r>
        <w:t xml:space="preserve"> derde indien deze de infrastructuur ter beschikking stelt) </w:t>
      </w:r>
      <w:r>
        <w:br/>
        <w:t>(2) moment van de ingebruikname.</w:t>
      </w:r>
    </w:p>
    <w:p w14:paraId="33D181F0" w14:textId="439BE0F9" w:rsidR="00C9641F" w:rsidRDefault="00BC41F4" w:rsidP="00E16AD2">
      <w:r>
        <w:t>Meer bepaald</w:t>
      </w:r>
      <w:r w:rsidR="00E16AD2">
        <w:t>:</w:t>
      </w:r>
    </w:p>
    <w:p w14:paraId="6D299351" w14:textId="2F76DBDC" w:rsidR="00E16AD2" w:rsidRDefault="00E16AD2" w:rsidP="00E16AD2">
      <w:r>
        <w:t xml:space="preserve">(1) </w:t>
      </w:r>
      <w:r w:rsidR="005625FC">
        <w:t>Er</w:t>
      </w:r>
      <w:r>
        <w:t xml:space="preserve"> wordt dus vertrokken van de </w:t>
      </w:r>
      <w:r w:rsidRPr="00E16AD2">
        <w:rPr>
          <w:b/>
          <w:bCs/>
        </w:rPr>
        <w:t>balans</w:t>
      </w:r>
      <w:r>
        <w:t xml:space="preserve"> van de aanvrager</w:t>
      </w:r>
      <w:r w:rsidR="00375BB3">
        <w:t xml:space="preserve"> (of derde indien ter beschikking stelling door die derde)</w:t>
      </w:r>
      <w:r>
        <w:t xml:space="preserve"> en </w:t>
      </w:r>
      <w:r w:rsidRPr="00B9390A">
        <w:rPr>
          <w:b/>
          <w:bCs/>
        </w:rPr>
        <w:t>niet van de specifieke financiering voor het project</w:t>
      </w:r>
      <w:r>
        <w:t>. Daar zijn verschillende redenen voor:</w:t>
      </w:r>
    </w:p>
    <w:p w14:paraId="5A2786F8" w14:textId="67BCF36F" w:rsidR="00E16AD2" w:rsidRDefault="00E16AD2" w:rsidP="00E16AD2">
      <w:r>
        <w:lastRenderedPageBreak/>
        <w:t xml:space="preserve">Ten eerste wordt de </w:t>
      </w:r>
      <w:r w:rsidRPr="00E16AD2">
        <w:rPr>
          <w:b/>
          <w:bCs/>
        </w:rPr>
        <w:t>financiering dikwijls centraal</w:t>
      </w:r>
      <w:r>
        <w:t xml:space="preserve"> aangestuurd en is het moeilijk geval per geval de specifieke financiering te bepalen. Ten tweede draagt </w:t>
      </w:r>
      <w:r w:rsidR="00B9390A">
        <w:t xml:space="preserve">die werkwijze </w:t>
      </w:r>
      <w:r>
        <w:t xml:space="preserve">opnieuw </w:t>
      </w:r>
      <w:r w:rsidR="00B9390A">
        <w:t xml:space="preserve">bij </w:t>
      </w:r>
      <w:r>
        <w:t xml:space="preserve">tot de </w:t>
      </w:r>
      <w:r w:rsidRPr="00E16AD2">
        <w:rPr>
          <w:b/>
          <w:bCs/>
        </w:rPr>
        <w:t>eenduidigheid  en de stabiliteit van de beoordeling</w:t>
      </w:r>
      <w:r>
        <w:t xml:space="preserve"> </w:t>
      </w:r>
      <w:r w:rsidR="000C7BF4">
        <w:t xml:space="preserve">door </w:t>
      </w:r>
      <w:r>
        <w:t xml:space="preserve">eerder uit te gaan van de stabielere balansstructuur </w:t>
      </w:r>
      <w:r w:rsidR="00BC41F4">
        <w:t xml:space="preserve">van de </w:t>
      </w:r>
      <w:r w:rsidR="003B64D4">
        <w:t>rechtspersoon</w:t>
      </w:r>
      <w:r w:rsidR="00BC41F4">
        <w:t xml:space="preserve"> als geheel </w:t>
      </w:r>
      <w:r>
        <w:t>dan van de wijzigende financieringsstructuur per project. Er dient immers vermeden te worden dat de wisselende financieringsstructuur ertoe bijdraagt dat het ene project omwille van goedkope financiering wel overcompensatie kent en een ander project omwille van de duurdere financiering geen overcompensatie kent.</w:t>
      </w:r>
    </w:p>
    <w:p w14:paraId="756722CF" w14:textId="2240A855" w:rsidR="00E16AD2" w:rsidRDefault="00E16AD2" w:rsidP="00E16AD2">
      <w:r>
        <w:t xml:space="preserve">(2) De </w:t>
      </w:r>
      <w:r w:rsidR="00FE0D81">
        <w:t>financiering is definitief afgerond</w:t>
      </w:r>
      <w:r>
        <w:t xml:space="preserve"> op het </w:t>
      </w:r>
      <w:r w:rsidRPr="009A1ADA">
        <w:rPr>
          <w:b/>
          <w:bCs/>
        </w:rPr>
        <w:t>moment van de ingebruikname</w:t>
      </w:r>
      <w:r>
        <w:t xml:space="preserve"> en</w:t>
      </w:r>
      <w:r w:rsidR="005018D5">
        <w:t xml:space="preserve"> bijgevolg wordt de </w:t>
      </w:r>
      <w:r w:rsidR="005018D5" w:rsidRPr="005018D5">
        <w:rPr>
          <w:b/>
          <w:bCs/>
        </w:rPr>
        <w:t>financieringskost</w:t>
      </w:r>
      <w:r w:rsidRPr="005018D5">
        <w:rPr>
          <w:b/>
          <w:bCs/>
        </w:rPr>
        <w:t xml:space="preserve"> blijvend gehanteerd</w:t>
      </w:r>
      <w:r>
        <w:t xml:space="preserve"> voor de rest van de economische levensduur van het project. Eenmaal een lening is aangegaan of eigen vermogen werd ingezet wijzigt de financieringskost </w:t>
      </w:r>
      <w:r w:rsidR="00A755D0">
        <w:t xml:space="preserve">voor het uitgevoerde project </w:t>
      </w:r>
      <w:r>
        <w:t>achteraf immers niet meer.</w:t>
      </w:r>
      <w:r w:rsidR="00A368DA">
        <w:t xml:space="preserve"> De jaarlijkse bepaling zoals vermeld in de regelgeving heeft eerder betrekking op fundamentele wijzigingen in de achterliggende factoren.</w:t>
      </w:r>
      <w:r w:rsidR="003B69EC">
        <w:t xml:space="preserve"> In het verleden vertoonde zowel de financieringskost van het eigen vermogen als van de financiële schulden een stabiel patroon.</w:t>
      </w:r>
    </w:p>
    <w:p w14:paraId="7B69A8FD" w14:textId="4A6655EF" w:rsidR="009A1ADA" w:rsidRPr="003D2848" w:rsidRDefault="003D2848" w:rsidP="00E16AD2">
      <w:pPr>
        <w:rPr>
          <w:u w:val="single"/>
        </w:rPr>
      </w:pPr>
      <w:r>
        <w:t xml:space="preserve">3.2 </w:t>
      </w:r>
      <w:r w:rsidR="009A1ADA" w:rsidRPr="003D2848">
        <w:rPr>
          <w:u w:val="single"/>
        </w:rPr>
        <w:t>De financieringskosten per financierings</w:t>
      </w:r>
      <w:r w:rsidRPr="003D2848">
        <w:rPr>
          <w:u w:val="single"/>
        </w:rPr>
        <w:t xml:space="preserve">vorm </w:t>
      </w:r>
      <w:r w:rsidR="009A1ADA" w:rsidRPr="003D2848">
        <w:rPr>
          <w:u w:val="single"/>
        </w:rPr>
        <w:t>worden als volgt bepaald:</w:t>
      </w:r>
    </w:p>
    <w:p w14:paraId="070889C5" w14:textId="0FBBB6EE" w:rsidR="00FA0FC7" w:rsidRDefault="009A1ADA" w:rsidP="00053760">
      <w:pPr>
        <w:pStyle w:val="Lijstalinea"/>
        <w:numPr>
          <w:ilvl w:val="0"/>
          <w:numId w:val="1"/>
        </w:numPr>
      </w:pPr>
      <w:r>
        <w:t xml:space="preserve">Voor het </w:t>
      </w:r>
      <w:r w:rsidRPr="00C10D0F">
        <w:rPr>
          <w:b/>
          <w:bCs/>
        </w:rPr>
        <w:t>eigen vermogen wordt op moment van ingebruikname</w:t>
      </w:r>
      <w:r>
        <w:t xml:space="preserve"> </w:t>
      </w:r>
      <w:r w:rsidR="00053760">
        <w:t>wordt het richtcijfer gehanteerd dat in de buurt ligt van het richtrendement in de prijsaanvraag voor de woonzorgcentra.</w:t>
      </w:r>
      <w:r w:rsidR="00053760">
        <w:br/>
        <w:t xml:space="preserve">Ook voor deze </w:t>
      </w:r>
      <w:r w:rsidR="00D5623D">
        <w:t>controle</w:t>
      </w:r>
      <w:r w:rsidR="00053760">
        <w:t xml:space="preserve"> blijft dit gehandhaafd op 4,5%.  </w:t>
      </w:r>
    </w:p>
    <w:p w14:paraId="48A165DB" w14:textId="77777777" w:rsidR="00053760" w:rsidRPr="009A1ADA" w:rsidRDefault="00053760" w:rsidP="00053760">
      <w:pPr>
        <w:pStyle w:val="Lijstalinea"/>
        <w:ind w:left="1080"/>
      </w:pPr>
    </w:p>
    <w:p w14:paraId="4B124B3B" w14:textId="0A23C164" w:rsidR="009A1ADA" w:rsidRDefault="009A1ADA" w:rsidP="00E16AD2">
      <w:pPr>
        <w:pStyle w:val="Lijstalinea"/>
        <w:numPr>
          <w:ilvl w:val="0"/>
          <w:numId w:val="1"/>
        </w:numPr>
      </w:pPr>
      <w:r>
        <w:t xml:space="preserve">Voor het deel </w:t>
      </w:r>
      <w:r w:rsidRPr="00755937">
        <w:rPr>
          <w:b/>
          <w:bCs/>
        </w:rPr>
        <w:t>financiële schulden zal gekeken worden naar de gemiddelde financieringskost voor uw leningen</w:t>
      </w:r>
      <w:r>
        <w:t xml:space="preserve">. Voor  het voorbeeld werd uitgegaan van 1.5% op moment van ingebruikname. </w:t>
      </w:r>
      <w:r w:rsidR="007F6EC1">
        <w:t xml:space="preserve">Hier wordt </w:t>
      </w:r>
      <w:r w:rsidR="00755937">
        <w:t>aan u gevraagd</w:t>
      </w:r>
      <w:r w:rsidR="007F6EC1">
        <w:t xml:space="preserve"> om dit zelf aan te vullen.</w:t>
      </w:r>
      <w:r w:rsidR="00864B9E">
        <w:br/>
      </w:r>
      <w:r w:rsidR="00864B9E" w:rsidRPr="00864B9E">
        <w:rPr>
          <w:b/>
          <w:bCs/>
          <w:highlight w:val="lightGray"/>
        </w:rPr>
        <w:t>Belangrijk:</w:t>
      </w:r>
      <w:r w:rsidR="00864B9E" w:rsidRPr="00864B9E">
        <w:rPr>
          <w:b/>
          <w:bCs/>
        </w:rPr>
        <w:t xml:space="preserve"> </w:t>
      </w:r>
      <w:r w:rsidR="00864B9E">
        <w:t>Het is niet de bedoeling dat deze intrestkost nog eens met een risicopremie wordt verhoogd</w:t>
      </w:r>
      <w:r w:rsidR="006861B2">
        <w:t xml:space="preserve"> gezien de uitlener die risicopremie reeds verwerkt in de contractueel aangerekende intrest.</w:t>
      </w:r>
    </w:p>
    <w:p w14:paraId="50C4FC19" w14:textId="63BF7C99" w:rsidR="009A1ADA" w:rsidRDefault="009A1ADA" w:rsidP="00E16AD2">
      <w:r w:rsidRPr="009A1ADA">
        <w:rPr>
          <w:b/>
          <w:bCs/>
        </w:rPr>
        <w:t>Belangrijk:</w:t>
      </w:r>
      <w:r>
        <w:t xml:space="preserve"> van u verwachten we input m</w:t>
      </w:r>
      <w:r w:rsidR="004F47C1">
        <w:t>.</w:t>
      </w:r>
      <w:r>
        <w:t>b</w:t>
      </w:r>
      <w:r w:rsidR="004F47C1">
        <w:t>.</w:t>
      </w:r>
      <w:r>
        <w:t>t</w:t>
      </w:r>
      <w:r w:rsidR="004F47C1">
        <w:t>.</w:t>
      </w:r>
      <w:r>
        <w:t xml:space="preserve"> de </w:t>
      </w:r>
      <w:r w:rsidRPr="009A1ADA">
        <w:rPr>
          <w:b/>
          <w:bCs/>
        </w:rPr>
        <w:t>gemiddelde financieringskost voor uw leningen</w:t>
      </w:r>
      <w:r>
        <w:t xml:space="preserve"> op </w:t>
      </w:r>
      <w:r w:rsidRPr="00B51932">
        <w:rPr>
          <w:b/>
          <w:bCs/>
        </w:rPr>
        <w:t>moment van ingebruikname</w:t>
      </w:r>
      <w:r>
        <w:t>.</w:t>
      </w:r>
    </w:p>
    <w:p w14:paraId="0DE14FF7" w14:textId="3E671731" w:rsidR="009A1ADA" w:rsidRDefault="009A1ADA" w:rsidP="00E16AD2">
      <w:r>
        <w:t xml:space="preserve">4) </w:t>
      </w:r>
      <w:r w:rsidRPr="007B0F59">
        <w:rPr>
          <w:b/>
          <w:bCs/>
        </w:rPr>
        <w:t>effectieve EBIT (euro) en ROCE(%):</w:t>
      </w:r>
    </w:p>
    <w:p w14:paraId="13F181B4" w14:textId="2693C2ED" w:rsidR="009A1ADA" w:rsidRDefault="009A1ADA" w:rsidP="00E16AD2">
      <w:r>
        <w:t>In deze sectie dient u totaal niks in te voeren.</w:t>
      </w:r>
    </w:p>
    <w:p w14:paraId="0DA9CC8D" w14:textId="17FEB196" w:rsidR="009A1ADA" w:rsidRDefault="009A1ADA" w:rsidP="00E16AD2">
      <w:r>
        <w:t xml:space="preserve">Op basis van de voorgaande gegevens wordt de </w:t>
      </w:r>
      <w:r w:rsidRPr="009A1ADA">
        <w:rPr>
          <w:b/>
          <w:bCs/>
        </w:rPr>
        <w:t>effectieve EBIT</w:t>
      </w:r>
      <w:r>
        <w:t xml:space="preserve"> voor het project jaar na jaar berekend.</w:t>
      </w:r>
    </w:p>
    <w:p w14:paraId="20EF86CF" w14:textId="28F26DE6" w:rsidR="009A1ADA" w:rsidRDefault="009A1ADA" w:rsidP="00E16AD2">
      <w:r>
        <w:t>Indien de effectieve EBIT wordt gedeeld door de investeringskost</w:t>
      </w:r>
      <w:r w:rsidR="00367BE9">
        <w:t xml:space="preserve">, wordt de </w:t>
      </w:r>
      <w:r w:rsidR="00367BE9" w:rsidRPr="007B0F59">
        <w:rPr>
          <w:b/>
          <w:bCs/>
        </w:rPr>
        <w:t>effectieve ROCE</w:t>
      </w:r>
      <w:r w:rsidR="00367BE9">
        <w:t xml:space="preserve"> bekomen. Deze dient dan met de </w:t>
      </w:r>
      <w:r w:rsidR="00367BE9" w:rsidRPr="007B0F59">
        <w:rPr>
          <w:b/>
          <w:bCs/>
        </w:rPr>
        <w:t>toelaatbare ROCE</w:t>
      </w:r>
      <w:r w:rsidR="007B0F59" w:rsidRPr="007B0F59">
        <w:rPr>
          <w:b/>
          <w:bCs/>
        </w:rPr>
        <w:t>/financieringskost uit sectie 3</w:t>
      </w:r>
      <w:r w:rsidR="00367BE9" w:rsidRPr="007B0F59">
        <w:rPr>
          <w:b/>
          <w:bCs/>
        </w:rPr>
        <w:t xml:space="preserve"> </w:t>
      </w:r>
      <w:r w:rsidR="00367BE9">
        <w:t>vergeleken</w:t>
      </w:r>
      <w:r w:rsidR="00CC108B">
        <w:t xml:space="preserve"> te worden -</w:t>
      </w:r>
      <w:r w:rsidR="00367BE9">
        <w:t xml:space="preserve"> </w:t>
      </w:r>
      <w:r w:rsidR="007B0F59">
        <w:t>wat ons brengt bij de volgende sectie:</w:t>
      </w:r>
    </w:p>
    <w:p w14:paraId="6647045D" w14:textId="5916746F" w:rsidR="00367BE9" w:rsidRPr="003C400D" w:rsidRDefault="00367BE9" w:rsidP="00E16AD2">
      <w:pPr>
        <w:rPr>
          <w:b/>
          <w:bCs/>
        </w:rPr>
      </w:pPr>
      <w:r>
        <w:t xml:space="preserve">5) </w:t>
      </w:r>
      <w:r w:rsidRPr="003C400D">
        <w:rPr>
          <w:b/>
          <w:bCs/>
        </w:rPr>
        <w:t>evaluatie staatssteun:</w:t>
      </w:r>
    </w:p>
    <w:p w14:paraId="7469AE3C" w14:textId="43062AAD" w:rsidR="00DE2294" w:rsidRDefault="00367BE9" w:rsidP="00E16AD2">
      <w:r>
        <w:t xml:space="preserve">Voor de evaluatie van de staatssteun wordt jaar na jaar nagegaan of de </w:t>
      </w:r>
      <w:r w:rsidRPr="002523C8">
        <w:rPr>
          <w:b/>
          <w:bCs/>
        </w:rPr>
        <w:t>effectieve ROCE lager ligt dan de toelaatbare</w:t>
      </w:r>
      <w:r w:rsidR="002523C8" w:rsidRPr="002523C8">
        <w:rPr>
          <w:b/>
          <w:bCs/>
        </w:rPr>
        <w:t xml:space="preserve"> ROCE/financier</w:t>
      </w:r>
      <w:r w:rsidR="00E01EB0">
        <w:rPr>
          <w:b/>
          <w:bCs/>
        </w:rPr>
        <w:t>i</w:t>
      </w:r>
      <w:r w:rsidR="002523C8" w:rsidRPr="002523C8">
        <w:rPr>
          <w:b/>
          <w:bCs/>
        </w:rPr>
        <w:t>ngskost</w:t>
      </w:r>
      <w:r w:rsidRPr="002523C8">
        <w:rPr>
          <w:b/>
          <w:bCs/>
        </w:rPr>
        <w:t>.</w:t>
      </w:r>
      <w:r w:rsidR="00A279DF">
        <w:rPr>
          <w:b/>
          <w:bCs/>
        </w:rPr>
        <w:t xml:space="preserve"> </w:t>
      </w:r>
      <w:r w:rsidR="00DE2294">
        <w:t>Het bedrag van de overschrijding wordt geaccumuleerd en vormt de totale overcompensatie (factor A)</w:t>
      </w:r>
    </w:p>
    <w:p w14:paraId="653FDA1A" w14:textId="2F65878D" w:rsidR="00DE2294" w:rsidRPr="00FB1C18" w:rsidRDefault="00DE2294" w:rsidP="00E16AD2">
      <w:r>
        <w:t xml:space="preserve">Die factor A wordt vergeleken met de </w:t>
      </w:r>
      <w:r w:rsidRPr="003B1E01">
        <w:rPr>
          <w:b/>
          <w:bCs/>
        </w:rPr>
        <w:t>gemiddelde compensatie (factor B)</w:t>
      </w:r>
      <w:r>
        <w:t>. De Europese</w:t>
      </w:r>
      <w:r w:rsidR="00B82430">
        <w:t xml:space="preserve"> staatssteun</w:t>
      </w:r>
      <w:r>
        <w:t xml:space="preserve">regelgeving laat </w:t>
      </w:r>
      <w:r w:rsidR="003B1E01">
        <w:t>toe dat</w:t>
      </w:r>
      <w:r>
        <w:t xml:space="preserve"> de overcompensatie wordt overgedragen voor </w:t>
      </w:r>
      <w:r w:rsidRPr="003B1E01">
        <w:rPr>
          <w:b/>
          <w:bCs/>
        </w:rPr>
        <w:t xml:space="preserve">maximaal 10% </w:t>
      </w:r>
      <w:r w:rsidRPr="003B1E01">
        <w:rPr>
          <w:b/>
          <w:bCs/>
        </w:rPr>
        <w:lastRenderedPageBreak/>
        <w:t xml:space="preserve">van de gemiddelde </w:t>
      </w:r>
      <w:r w:rsidR="004F47C1">
        <w:rPr>
          <w:b/>
          <w:bCs/>
        </w:rPr>
        <w:t>jaar</w:t>
      </w:r>
      <w:r w:rsidRPr="003B1E01">
        <w:rPr>
          <w:b/>
          <w:bCs/>
        </w:rPr>
        <w:t>compensatie (factor C)</w:t>
      </w:r>
      <w:r w:rsidR="00FB1C18">
        <w:rPr>
          <w:b/>
          <w:bCs/>
        </w:rPr>
        <w:t xml:space="preserve">. </w:t>
      </w:r>
      <w:r w:rsidR="00FB1C18">
        <w:t xml:space="preserve">Dit kan van jaar tot jaar en ook naar een volgende periode van 3 jaar. </w:t>
      </w:r>
    </w:p>
    <w:p w14:paraId="7498ED48" w14:textId="6F893A76" w:rsidR="003F3E2C" w:rsidRDefault="00DE2294">
      <w:r>
        <w:t xml:space="preserve">Het verschil tussen de totale overcompensatie (factor A) en het bedrag dat mag overgedragen worden (factor C) is het </w:t>
      </w:r>
      <w:r w:rsidRPr="003B1E01">
        <w:rPr>
          <w:b/>
          <w:bCs/>
        </w:rPr>
        <w:t>terug te vorderen bedrag</w:t>
      </w:r>
      <w:r>
        <w:t>.</w:t>
      </w:r>
    </w:p>
    <w:p w14:paraId="35868AD6" w14:textId="77777777" w:rsidR="00DE2294" w:rsidRDefault="00DE2294" w:rsidP="00E16AD2"/>
    <w:p w14:paraId="7690B1DC" w14:textId="1E921CC7" w:rsidR="003B1E01" w:rsidRDefault="003B1E01" w:rsidP="00E16AD2">
      <w:r>
        <w:t>III) Controlefiche: samenvatting van de verwachte invoer</w:t>
      </w:r>
    </w:p>
    <w:p w14:paraId="6666B2D1" w14:textId="2E7BD446" w:rsidR="003B1E01" w:rsidRDefault="00B8131C" w:rsidP="00E16AD2">
      <w:r>
        <w:t>Samengevat verwachten wij van u als aanvrager volgende invoer</w:t>
      </w:r>
      <w:r w:rsidR="00586CC1">
        <w:t xml:space="preserve"> (voor meer uitleg kan u onder sectie II terecht)</w:t>
      </w:r>
      <w:r>
        <w:t>:</w:t>
      </w:r>
    </w:p>
    <w:p w14:paraId="359BD523" w14:textId="77777777" w:rsidR="00B67992" w:rsidRDefault="00DA37F4" w:rsidP="00DA37F4">
      <w:pPr>
        <w:pStyle w:val="Lijstalinea"/>
        <w:numPr>
          <w:ilvl w:val="0"/>
          <w:numId w:val="1"/>
        </w:numPr>
      </w:pPr>
      <w:r>
        <w:t>1.2.2</w:t>
      </w:r>
      <w:r w:rsidR="00B67992">
        <w:t xml:space="preserve"> Investering:</w:t>
      </w:r>
    </w:p>
    <w:p w14:paraId="4E0C0B44" w14:textId="1DF2098E" w:rsidR="00DA37F4" w:rsidRDefault="00DA37F4" w:rsidP="00B67992">
      <w:pPr>
        <w:pStyle w:val="Lijstalinea"/>
        <w:numPr>
          <w:ilvl w:val="1"/>
          <w:numId w:val="1"/>
        </w:numPr>
      </w:pPr>
      <w:r w:rsidRPr="006368DA">
        <w:rPr>
          <w:b/>
          <w:bCs/>
        </w:rPr>
        <w:t>investerings</w:t>
      </w:r>
      <w:r w:rsidR="007D079C" w:rsidRPr="006368DA">
        <w:rPr>
          <w:b/>
          <w:bCs/>
        </w:rPr>
        <w:t>uitgave voor de werken</w:t>
      </w:r>
      <w:r w:rsidR="006368DA">
        <w:rPr>
          <w:b/>
          <w:bCs/>
        </w:rPr>
        <w:t>/aankoop infrastructuur</w:t>
      </w:r>
      <w:r w:rsidR="007D079C" w:rsidRPr="006368DA">
        <w:rPr>
          <w:b/>
          <w:bCs/>
        </w:rPr>
        <w:t xml:space="preserve"> &amp; los meubilair en uitrusting</w:t>
      </w:r>
      <w:r w:rsidR="007D079C">
        <w:t>. Dit is de investeringskost die</w:t>
      </w:r>
      <w:r w:rsidR="00E87FA2">
        <w:t xml:space="preserve"> normalite</w:t>
      </w:r>
      <w:r w:rsidR="00147242">
        <w:t xml:space="preserve">r </w:t>
      </w:r>
      <w:r w:rsidR="00FA7CEE">
        <w:t xml:space="preserve">door u </w:t>
      </w:r>
      <w:r w:rsidR="007D079C">
        <w:t xml:space="preserve">n.a.v. de eindevaluatie </w:t>
      </w:r>
      <w:r w:rsidR="00E87FA2">
        <w:t>wordt</w:t>
      </w:r>
      <w:r w:rsidR="007D079C">
        <w:t xml:space="preserve"> meegedeeld</w:t>
      </w:r>
    </w:p>
    <w:p w14:paraId="1E51E33F" w14:textId="77777777" w:rsidR="00824175" w:rsidRDefault="00B67992" w:rsidP="00B67992">
      <w:pPr>
        <w:pStyle w:val="Lijstalinea"/>
        <w:numPr>
          <w:ilvl w:val="1"/>
          <w:numId w:val="1"/>
        </w:numPr>
      </w:pPr>
      <w:r>
        <w:t xml:space="preserve">in geval van huur: </w:t>
      </w:r>
    </w:p>
    <w:p w14:paraId="2FCEA386" w14:textId="4687A900" w:rsidR="00B67992" w:rsidRPr="006368DA" w:rsidRDefault="00B67992" w:rsidP="00824175">
      <w:pPr>
        <w:pStyle w:val="Lijstalinea"/>
        <w:numPr>
          <w:ilvl w:val="2"/>
          <w:numId w:val="1"/>
        </w:numPr>
        <w:rPr>
          <w:b/>
          <w:bCs/>
        </w:rPr>
      </w:pPr>
      <w:r w:rsidRPr="006368DA">
        <w:rPr>
          <w:b/>
          <w:bCs/>
        </w:rPr>
        <w:t>ondernemingsnummer verhuurder</w:t>
      </w:r>
    </w:p>
    <w:p w14:paraId="5D6B38EB" w14:textId="780C3E29" w:rsidR="00824175" w:rsidRDefault="00824175" w:rsidP="00824175">
      <w:pPr>
        <w:pStyle w:val="Lijstalinea"/>
        <w:numPr>
          <w:ilvl w:val="2"/>
          <w:numId w:val="1"/>
        </w:numPr>
      </w:pPr>
      <w:r>
        <w:t xml:space="preserve">er wordt aangeduid of </w:t>
      </w:r>
      <w:r w:rsidR="008E5A9B">
        <w:t xml:space="preserve">de verhuurder de </w:t>
      </w:r>
      <w:r w:rsidR="008E5A9B" w:rsidRPr="006368DA">
        <w:rPr>
          <w:b/>
          <w:bCs/>
        </w:rPr>
        <w:t>forfaitgerechtigde investering afschrijft</w:t>
      </w:r>
      <w:r w:rsidR="008E5A9B">
        <w:t>. In dat geval zal er geen afschrijvingskost zijn en dient het kapitaaldeel van de huurkost onder 2.2 te worden opgenomen.</w:t>
      </w:r>
    </w:p>
    <w:p w14:paraId="3364D30A" w14:textId="357E45A0" w:rsidR="007D079C" w:rsidRDefault="00B74973" w:rsidP="00DA37F4">
      <w:pPr>
        <w:pStyle w:val="Lijstalinea"/>
        <w:numPr>
          <w:ilvl w:val="0"/>
          <w:numId w:val="1"/>
        </w:numPr>
      </w:pPr>
      <w:r>
        <w:t>2.1 opbrengsten:</w:t>
      </w:r>
    </w:p>
    <w:p w14:paraId="4841D707" w14:textId="6B183F34" w:rsidR="00B74973" w:rsidRDefault="004F47C1" w:rsidP="00B74973">
      <w:pPr>
        <w:pStyle w:val="Lijstalinea"/>
        <w:numPr>
          <w:ilvl w:val="1"/>
          <w:numId w:val="1"/>
        </w:numPr>
      </w:pPr>
      <w:r>
        <w:t>d</w:t>
      </w:r>
      <w:r w:rsidR="0030585B">
        <w:t xml:space="preserve">e </w:t>
      </w:r>
      <w:r w:rsidR="00810FC1">
        <w:t xml:space="preserve">infrastructuurcomponent of </w:t>
      </w:r>
      <w:r w:rsidR="0030585B">
        <w:t xml:space="preserve">bijdrage </w:t>
      </w:r>
      <w:r w:rsidR="006444BA">
        <w:t xml:space="preserve">in eerste instantie </w:t>
      </w:r>
      <w:r w:rsidR="0030585B">
        <w:t xml:space="preserve">voor </w:t>
      </w:r>
      <w:r w:rsidR="0030585B" w:rsidRPr="006368DA">
        <w:rPr>
          <w:b/>
          <w:bCs/>
        </w:rPr>
        <w:t>afschrijvingen, intresten leningen</w:t>
      </w:r>
      <w:r w:rsidR="000B2949" w:rsidRPr="006368DA">
        <w:rPr>
          <w:b/>
          <w:bCs/>
        </w:rPr>
        <w:t>, eventuele huur</w:t>
      </w:r>
      <w:r w:rsidR="006368DA">
        <w:rPr>
          <w:b/>
          <w:bCs/>
        </w:rPr>
        <w:t>/periodieke vergoeding ter beschikking stelling</w:t>
      </w:r>
      <w:r w:rsidR="006444BA">
        <w:t xml:space="preserve"> en in tweede instantie </w:t>
      </w:r>
      <w:r w:rsidR="000B2949" w:rsidRPr="006368DA">
        <w:rPr>
          <w:b/>
          <w:bCs/>
        </w:rPr>
        <w:t xml:space="preserve">erfpacht grond </w:t>
      </w:r>
      <w:r w:rsidR="006444BA" w:rsidRPr="006368DA">
        <w:rPr>
          <w:b/>
          <w:bCs/>
        </w:rPr>
        <w:t xml:space="preserve">of </w:t>
      </w:r>
      <w:r w:rsidR="000B2949" w:rsidRPr="006368DA">
        <w:rPr>
          <w:b/>
          <w:bCs/>
        </w:rPr>
        <w:t>toerekenbaar deel patrimoniumtaks</w:t>
      </w:r>
      <w:r w:rsidR="006444BA" w:rsidRPr="006368DA">
        <w:rPr>
          <w:b/>
          <w:bCs/>
        </w:rPr>
        <w:t>/gemeenschappelijke kosten</w:t>
      </w:r>
      <w:r w:rsidR="006444BA">
        <w:t xml:space="preserve">. </w:t>
      </w:r>
      <w:r w:rsidR="00993DBF">
        <w:t>De gouden regel is dat wat opgenomen wordt onder de gebruikersbijdrage ook een tegenhanger heeft onder de kosten.</w:t>
      </w:r>
    </w:p>
    <w:p w14:paraId="2C954A77" w14:textId="032183CF" w:rsidR="000B2949" w:rsidRDefault="004F47C1" w:rsidP="00B74973">
      <w:pPr>
        <w:pStyle w:val="Lijstalinea"/>
        <w:numPr>
          <w:ilvl w:val="1"/>
          <w:numId w:val="1"/>
        </w:numPr>
      </w:pPr>
      <w:r>
        <w:t>v</w:t>
      </w:r>
      <w:r w:rsidR="009E42D2">
        <w:t xml:space="preserve">oor de </w:t>
      </w:r>
      <w:r w:rsidR="00810FC1">
        <w:t>berekening van voornoemde infrastructuurcomponent</w:t>
      </w:r>
      <w:r w:rsidR="009E42D2">
        <w:t xml:space="preserve"> kan u zowel de </w:t>
      </w:r>
      <w:r w:rsidR="009E42D2" w:rsidRPr="006368DA">
        <w:rPr>
          <w:b/>
          <w:bCs/>
        </w:rPr>
        <w:t>optelmethode</w:t>
      </w:r>
      <w:r w:rsidR="0030244C">
        <w:t xml:space="preserve"> (variant A)</w:t>
      </w:r>
      <w:r w:rsidR="009E42D2">
        <w:t xml:space="preserve"> als de </w:t>
      </w:r>
      <w:r w:rsidR="009E42D2" w:rsidRPr="006368DA">
        <w:rPr>
          <w:b/>
          <w:bCs/>
        </w:rPr>
        <w:t>aftrekbenadering</w:t>
      </w:r>
      <w:r w:rsidR="0030244C" w:rsidRPr="006368DA">
        <w:rPr>
          <w:b/>
          <w:bCs/>
        </w:rPr>
        <w:t xml:space="preserve"> </w:t>
      </w:r>
      <w:r w:rsidR="0030244C">
        <w:t>(variant B)</w:t>
      </w:r>
      <w:r w:rsidR="009E42D2">
        <w:t xml:space="preserve"> kiezen. Bij verdeling of toerekening in </w:t>
      </w:r>
      <w:r w:rsidR="00F30BB8">
        <w:t xml:space="preserve">het geval </w:t>
      </w:r>
      <w:r w:rsidR="00FD620D">
        <w:t xml:space="preserve">dat de woonbijdrage zowel betrekking heeft </w:t>
      </w:r>
      <w:r w:rsidR="00F30BB8">
        <w:t xml:space="preserve"> op de </w:t>
      </w:r>
      <w:r w:rsidR="00FD620D">
        <w:t>forfaitgerechtigde als niet forfaitgerechtigde infrastructuur gebruikt u verdeelsleutels</w:t>
      </w:r>
    </w:p>
    <w:p w14:paraId="503124E3" w14:textId="39C4087B" w:rsidR="007D55DD" w:rsidRDefault="004D6BEA" w:rsidP="004D6BEA">
      <w:pPr>
        <w:pStyle w:val="Lijstalinea"/>
        <w:numPr>
          <w:ilvl w:val="3"/>
          <w:numId w:val="1"/>
        </w:numPr>
      </w:pPr>
      <w:r>
        <w:t>Voor de verbijzondering: zie tabblad “gebruikersbijdrage-detail”</w:t>
      </w:r>
    </w:p>
    <w:p w14:paraId="308636E5" w14:textId="6F169DE6" w:rsidR="00F44D1B" w:rsidRDefault="003D1D9A" w:rsidP="004D6BEA">
      <w:pPr>
        <w:pStyle w:val="Lijstalinea"/>
        <w:numPr>
          <w:ilvl w:val="3"/>
          <w:numId w:val="1"/>
        </w:numPr>
      </w:pPr>
      <w:r>
        <w:t xml:space="preserve">En onder 2.1 kiest de behouden variant (A/B) waardoor de bedragen automatisch </w:t>
      </w:r>
      <w:proofErr w:type="spellStart"/>
      <w:r>
        <w:t>wordeno</w:t>
      </w:r>
      <w:proofErr w:type="spellEnd"/>
      <w:r>
        <w:t xml:space="preserve"> overgenomen.</w:t>
      </w:r>
    </w:p>
    <w:p w14:paraId="46AB4208" w14:textId="596421C7" w:rsidR="004D6BEA" w:rsidRDefault="00A47A2C" w:rsidP="004D6BEA">
      <w:pPr>
        <w:pStyle w:val="Lijstalinea"/>
        <w:numPr>
          <w:ilvl w:val="0"/>
          <w:numId w:val="1"/>
        </w:numPr>
      </w:pPr>
      <w:r>
        <w:t xml:space="preserve">2.2 </w:t>
      </w:r>
      <w:r w:rsidR="00DB05B9">
        <w:t>kosten:</w:t>
      </w:r>
    </w:p>
    <w:p w14:paraId="2BD7E073" w14:textId="2CFC31FB" w:rsidR="00825CC3" w:rsidRDefault="00FE2DA3" w:rsidP="00825CC3">
      <w:pPr>
        <w:pStyle w:val="Lijstalinea"/>
        <w:numPr>
          <w:ilvl w:val="1"/>
          <w:numId w:val="1"/>
        </w:numPr>
      </w:pPr>
      <w:r>
        <w:t>I</w:t>
      </w:r>
      <w:r w:rsidR="00DB05B9">
        <w:t xml:space="preserve">ndien nog andere pure infrastructuurkosten behalve afschrijvingen </w:t>
      </w:r>
      <w:r w:rsidR="00233DDA">
        <w:t>&amp; intresten</w:t>
      </w:r>
      <w:r>
        <w:t xml:space="preserve"> kan u deze hier toevoegen</w:t>
      </w:r>
      <w:r w:rsidR="00233DDA">
        <w:t xml:space="preserve">. Hier kan ook de </w:t>
      </w:r>
      <w:r w:rsidR="00233DDA" w:rsidRPr="006368DA">
        <w:rPr>
          <w:b/>
          <w:bCs/>
        </w:rPr>
        <w:t>huur</w:t>
      </w:r>
      <w:r w:rsidR="006368DA" w:rsidRPr="006368DA">
        <w:rPr>
          <w:b/>
          <w:bCs/>
        </w:rPr>
        <w:t xml:space="preserve">/periodieke vergoeding ter beschikking stelling </w:t>
      </w:r>
      <w:r w:rsidR="00233DDA" w:rsidRPr="006368DA">
        <w:rPr>
          <w:b/>
          <w:bCs/>
        </w:rPr>
        <w:t>m</w:t>
      </w:r>
      <w:r w:rsidR="004F47C1" w:rsidRPr="006368DA">
        <w:rPr>
          <w:b/>
          <w:bCs/>
        </w:rPr>
        <w:t>.</w:t>
      </w:r>
      <w:r w:rsidR="00233DDA" w:rsidRPr="006368DA">
        <w:rPr>
          <w:b/>
          <w:bCs/>
        </w:rPr>
        <w:t>b</w:t>
      </w:r>
      <w:r w:rsidR="004F47C1" w:rsidRPr="006368DA">
        <w:rPr>
          <w:b/>
          <w:bCs/>
        </w:rPr>
        <w:t>.</w:t>
      </w:r>
      <w:r w:rsidR="00233DDA" w:rsidRPr="006368DA">
        <w:rPr>
          <w:b/>
          <w:bCs/>
        </w:rPr>
        <w:t>t</w:t>
      </w:r>
      <w:r w:rsidR="004F47C1" w:rsidRPr="006368DA">
        <w:rPr>
          <w:b/>
          <w:bCs/>
        </w:rPr>
        <w:t>.</w:t>
      </w:r>
      <w:r w:rsidR="00233DDA" w:rsidRPr="006368DA">
        <w:rPr>
          <w:b/>
          <w:bCs/>
        </w:rPr>
        <w:t xml:space="preserve"> het </w:t>
      </w:r>
      <w:proofErr w:type="spellStart"/>
      <w:r w:rsidR="00233DDA" w:rsidRPr="006368DA">
        <w:rPr>
          <w:b/>
          <w:bCs/>
        </w:rPr>
        <w:t>zorggerelateerde</w:t>
      </w:r>
      <w:proofErr w:type="spellEnd"/>
      <w:r w:rsidR="00233DDA" w:rsidRPr="006368DA">
        <w:rPr>
          <w:b/>
          <w:bCs/>
        </w:rPr>
        <w:t xml:space="preserve"> deel</w:t>
      </w:r>
      <w:r w:rsidR="00233DDA">
        <w:t xml:space="preserve"> worden opgenomen.</w:t>
      </w:r>
      <w:r w:rsidR="00F20859">
        <w:t xml:space="preserve"> In geval van een</w:t>
      </w:r>
      <w:r w:rsidR="005E165E">
        <w:t xml:space="preserve"> ter beschikking stellen door een infrastructuurentiteit </w:t>
      </w:r>
      <w:r w:rsidR="00F20859">
        <w:t>zal dit de voornaamste component zijn.</w:t>
      </w:r>
      <w:r w:rsidR="00C3638F">
        <w:t xml:space="preserve"> </w:t>
      </w:r>
      <w:r w:rsidR="00C3638F" w:rsidRPr="006368DA">
        <w:rPr>
          <w:b/>
          <w:bCs/>
        </w:rPr>
        <w:t>Enkel het kapitaaldeel</w:t>
      </w:r>
      <w:r w:rsidR="00C3638F">
        <w:t xml:space="preserve"> mag dan worden opgenomen</w:t>
      </w:r>
      <w:r w:rsidR="004F47C1">
        <w:t xml:space="preserve"> gezien met het intrestdeel reeds rekening gehouden werd in de ROCE</w:t>
      </w:r>
      <w:r w:rsidR="00C3638F">
        <w:t>.</w:t>
      </w:r>
    </w:p>
    <w:p w14:paraId="5AE8CE08" w14:textId="77777777" w:rsidR="00C3638F" w:rsidRDefault="00C3638F" w:rsidP="00C3638F">
      <w:pPr>
        <w:pStyle w:val="Lijstalinea"/>
        <w:ind w:left="1800"/>
      </w:pPr>
    </w:p>
    <w:p w14:paraId="684C898C" w14:textId="3599F1F7" w:rsidR="00825CC3" w:rsidRDefault="00AD44EF" w:rsidP="00825CC3">
      <w:pPr>
        <w:pStyle w:val="Lijstalinea"/>
        <w:numPr>
          <w:ilvl w:val="0"/>
          <w:numId w:val="1"/>
        </w:numPr>
      </w:pPr>
      <w:r>
        <w:t>3. toelaatbare ROCE:</w:t>
      </w:r>
    </w:p>
    <w:p w14:paraId="2944205A" w14:textId="4DB4D501" w:rsidR="00AD44EF" w:rsidRDefault="00AD44EF" w:rsidP="00AD44EF">
      <w:pPr>
        <w:pStyle w:val="Lijstalinea"/>
        <w:numPr>
          <w:ilvl w:val="1"/>
          <w:numId w:val="1"/>
        </w:numPr>
      </w:pPr>
      <w:r>
        <w:t>Financieringskost financiële schulden</w:t>
      </w:r>
      <w:r w:rsidR="007921EE">
        <w:t xml:space="preserve">: gelieve hier de </w:t>
      </w:r>
      <w:r w:rsidR="007921EE" w:rsidRPr="006368DA">
        <w:rPr>
          <w:b/>
          <w:bCs/>
        </w:rPr>
        <w:t>gemiddelde intrestlast van de financiële schulden in het jaar van ingebruikname</w:t>
      </w:r>
      <w:r w:rsidR="007921EE">
        <w:t xml:space="preserve"> in te voeren.</w:t>
      </w:r>
    </w:p>
    <w:p w14:paraId="62C61B9C" w14:textId="0F20F3A8" w:rsidR="00F20859" w:rsidRDefault="00606E6F" w:rsidP="00F20859">
      <w:r>
        <w:lastRenderedPageBreak/>
        <w:t>Volgende verantwoordingsstukken kunne</w:t>
      </w:r>
      <w:r w:rsidR="00DB316A">
        <w:t xml:space="preserve">n </w:t>
      </w:r>
      <w:proofErr w:type="spellStart"/>
      <w:r w:rsidR="00DB316A">
        <w:t>steekproefgewijs</w:t>
      </w:r>
      <w:proofErr w:type="spellEnd"/>
      <w:r w:rsidR="00DB316A">
        <w:t xml:space="preserve"> worden opgevraagd (indien niet beschikbaar of indien de bij ons beschikbare documenten niet meer actueel zouden zijn)</w:t>
      </w:r>
      <w:r w:rsidR="001F786C">
        <w:t xml:space="preserve"> en hoeven dus enkel ter bes</w:t>
      </w:r>
      <w:r w:rsidR="00857118">
        <w:t>chikking worden gehouden</w:t>
      </w:r>
      <w:r w:rsidR="00DB316A">
        <w:t>:</w:t>
      </w:r>
    </w:p>
    <w:p w14:paraId="287E34AC" w14:textId="4E268BE2" w:rsidR="00C077FC" w:rsidRDefault="00C077FC" w:rsidP="00F20859">
      <w:pPr>
        <w:pStyle w:val="Lijstalinea"/>
        <w:numPr>
          <w:ilvl w:val="0"/>
          <w:numId w:val="1"/>
        </w:numPr>
      </w:pPr>
      <w:r>
        <w:t>2.1 opbrengsten:</w:t>
      </w:r>
    </w:p>
    <w:p w14:paraId="37D147E0" w14:textId="718ABDC1" w:rsidR="00C077FC" w:rsidRDefault="006368DA" w:rsidP="00C077FC">
      <w:pPr>
        <w:pStyle w:val="Lijstalinea"/>
        <w:numPr>
          <w:ilvl w:val="1"/>
          <w:numId w:val="1"/>
        </w:numPr>
      </w:pPr>
      <w:r>
        <w:t xml:space="preserve">Verantwoording voor de </w:t>
      </w:r>
      <w:r w:rsidRPr="006368DA">
        <w:rPr>
          <w:b/>
          <w:bCs/>
        </w:rPr>
        <w:t>pure infrastructuurbijdrage</w:t>
      </w:r>
      <w:r>
        <w:t xml:space="preserve"> indien die</w:t>
      </w:r>
      <w:r w:rsidR="00AA1ED9">
        <w:t xml:space="preserve"> niet eenduidig uit de individuele dienstenovereenkomst is op te maken en in</w:t>
      </w:r>
      <w:r w:rsidR="00C077FC">
        <w:t xml:space="preserve"> functie van </w:t>
      </w:r>
      <w:r w:rsidR="00AA1ED9">
        <w:t xml:space="preserve">de gekozen variant voor </w:t>
      </w:r>
      <w:r w:rsidR="00F14430">
        <w:t>de berekening van de pure infrastructuurcomponent (zie tabblad “gebruikersbijdrage-detail”).</w:t>
      </w:r>
    </w:p>
    <w:p w14:paraId="33A1879F" w14:textId="77777777" w:rsidR="00AA1ED9" w:rsidRDefault="00AA1ED9" w:rsidP="00E52334">
      <w:pPr>
        <w:pStyle w:val="Lijstalinea"/>
        <w:ind w:left="1800"/>
      </w:pPr>
    </w:p>
    <w:p w14:paraId="624954E6" w14:textId="5724592F" w:rsidR="00DB316A" w:rsidRDefault="000D48C8" w:rsidP="00F20859">
      <w:pPr>
        <w:pStyle w:val="Lijstalinea"/>
        <w:numPr>
          <w:ilvl w:val="0"/>
          <w:numId w:val="1"/>
        </w:numPr>
      </w:pPr>
      <w:r>
        <w:t>2.2 kosten:</w:t>
      </w:r>
    </w:p>
    <w:p w14:paraId="22BD0697" w14:textId="6DEFCBD6" w:rsidR="004A0C58" w:rsidRPr="006368DA" w:rsidRDefault="004A0C58" w:rsidP="004A0C58">
      <w:pPr>
        <w:pStyle w:val="Lijstalinea"/>
        <w:numPr>
          <w:ilvl w:val="1"/>
          <w:numId w:val="1"/>
        </w:numPr>
      </w:pPr>
      <w:r w:rsidRPr="006368DA">
        <w:rPr>
          <w:b/>
          <w:bCs/>
        </w:rPr>
        <w:t xml:space="preserve">Huur- of erfpacht: </w:t>
      </w:r>
      <w:r w:rsidRPr="006368DA">
        <w:t>contracten</w:t>
      </w:r>
    </w:p>
    <w:p w14:paraId="236BC45C" w14:textId="18ABA2DD" w:rsidR="004A0C58" w:rsidRDefault="00017573" w:rsidP="004A0C58">
      <w:pPr>
        <w:pStyle w:val="Lijstalinea"/>
        <w:numPr>
          <w:ilvl w:val="1"/>
          <w:numId w:val="1"/>
        </w:numPr>
      </w:pPr>
      <w:r w:rsidRPr="006368DA">
        <w:rPr>
          <w:b/>
          <w:bCs/>
        </w:rPr>
        <w:t>Patrimoniumtaks:</w:t>
      </w:r>
      <w:r>
        <w:t xml:space="preserve"> uittreksel </w:t>
      </w:r>
      <w:r w:rsidRPr="006368DA">
        <w:t>boekhouding of bankrekeninguittreksel</w:t>
      </w:r>
    </w:p>
    <w:p w14:paraId="7CD6778A" w14:textId="587FCC0E" w:rsidR="00017573" w:rsidRDefault="00CB04BB" w:rsidP="00FB1B92">
      <w:pPr>
        <w:pStyle w:val="Lijstalinea"/>
        <w:numPr>
          <w:ilvl w:val="1"/>
          <w:numId w:val="1"/>
        </w:numPr>
      </w:pPr>
      <w:r w:rsidRPr="00F44D1B">
        <w:rPr>
          <w:b/>
          <w:bCs/>
        </w:rPr>
        <w:t>Gemeenschappelijke kosten:</w:t>
      </w:r>
      <w:r>
        <w:t xml:space="preserve"> </w:t>
      </w:r>
      <w:proofErr w:type="spellStart"/>
      <w:r>
        <w:t>bvb</w:t>
      </w:r>
      <w:proofErr w:type="spellEnd"/>
      <w:r>
        <w:t xml:space="preserve">. verzekeringscontracten en </w:t>
      </w:r>
      <w:r w:rsidR="00B052C3">
        <w:t xml:space="preserve">rationele </w:t>
      </w:r>
      <w:r>
        <w:t>verantwoording verdeelsl</w:t>
      </w:r>
      <w:r w:rsidR="00BB6EEB">
        <w:t>eutel.</w:t>
      </w:r>
    </w:p>
    <w:sectPr w:rsidR="00017573">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7175" w14:textId="77777777" w:rsidR="00CF3347" w:rsidRDefault="00CF3347" w:rsidP="00D26695">
      <w:pPr>
        <w:spacing w:after="0" w:line="240" w:lineRule="auto"/>
      </w:pPr>
      <w:r>
        <w:separator/>
      </w:r>
    </w:p>
  </w:endnote>
  <w:endnote w:type="continuationSeparator" w:id="0">
    <w:p w14:paraId="1A97DE6A" w14:textId="77777777" w:rsidR="00CF3347" w:rsidRDefault="00CF3347" w:rsidP="00D2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67891"/>
      <w:docPartObj>
        <w:docPartGallery w:val="Page Numbers (Bottom of Page)"/>
        <w:docPartUnique/>
      </w:docPartObj>
    </w:sdtPr>
    <w:sdtEndPr/>
    <w:sdtContent>
      <w:p w14:paraId="7D08D5A2" w14:textId="1D4B27B7" w:rsidR="005A4AA4" w:rsidRDefault="005A4AA4">
        <w:pPr>
          <w:pStyle w:val="Voettekst"/>
          <w:jc w:val="right"/>
        </w:pPr>
        <w:r>
          <w:fldChar w:fldCharType="begin"/>
        </w:r>
        <w:r>
          <w:instrText>PAGE   \* MERGEFORMAT</w:instrText>
        </w:r>
        <w:r>
          <w:fldChar w:fldCharType="separate"/>
        </w:r>
        <w:r>
          <w:rPr>
            <w:lang w:val="nl-NL"/>
          </w:rPr>
          <w:t>2</w:t>
        </w:r>
        <w:r>
          <w:fldChar w:fldCharType="end"/>
        </w:r>
      </w:p>
    </w:sdtContent>
  </w:sdt>
  <w:p w14:paraId="4F1D9CE6" w14:textId="77777777" w:rsidR="005A4AA4" w:rsidRDefault="005A4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4261" w14:textId="77777777" w:rsidR="00CF3347" w:rsidRDefault="00CF3347" w:rsidP="00D26695">
      <w:pPr>
        <w:spacing w:after="0" w:line="240" w:lineRule="auto"/>
      </w:pPr>
      <w:r>
        <w:separator/>
      </w:r>
    </w:p>
  </w:footnote>
  <w:footnote w:type="continuationSeparator" w:id="0">
    <w:p w14:paraId="599890D5" w14:textId="77777777" w:rsidR="00CF3347" w:rsidRDefault="00CF3347" w:rsidP="00D26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FF12" w14:textId="202D2D1B" w:rsidR="005A4AA4" w:rsidRPr="005164AA" w:rsidRDefault="00216CD6">
    <w:pPr>
      <w:pStyle w:val="Koptekst"/>
      <w:rPr>
        <w:sz w:val="18"/>
        <w:szCs w:val="18"/>
      </w:rPr>
    </w:pPr>
    <w:r w:rsidRPr="005164AA">
      <w:rPr>
        <w:sz w:val="18"/>
        <w:szCs w:val="18"/>
      </w:rPr>
      <w:ptab w:relativeTo="margin" w:alignment="center" w:leader="none"/>
    </w:r>
    <w:r w:rsidRPr="005164AA">
      <w:rPr>
        <w:sz w:val="18"/>
        <w:szCs w:val="18"/>
      </w:rPr>
      <w:t>Controle staatssteun infrastructuurforfait meerderjarigen – handleiding controlefiche</w:t>
    </w:r>
    <w:r w:rsidR="005164AA" w:rsidRPr="005164AA">
      <w:rPr>
        <w:sz w:val="18"/>
        <w:szCs w:val="18"/>
      </w:rPr>
      <w:t xml:space="preserve"> -versie: </w:t>
    </w:r>
    <w:r w:rsidR="00053760">
      <w:rPr>
        <w:sz w:val="18"/>
        <w:szCs w:val="18"/>
      </w:rPr>
      <w:t>06/01/2026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429D"/>
    <w:multiLevelType w:val="hybridMultilevel"/>
    <w:tmpl w:val="C164B8B2"/>
    <w:lvl w:ilvl="0" w:tplc="E432E68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4670181"/>
    <w:multiLevelType w:val="hybridMultilevel"/>
    <w:tmpl w:val="3E22EAEA"/>
    <w:lvl w:ilvl="0" w:tplc="98882564">
      <w:start w:val="1"/>
      <w:numFmt w:val="bullet"/>
      <w:lvlText w:val="-"/>
      <w:lvlJc w:val="left"/>
      <w:pPr>
        <w:ind w:left="1080" w:hanging="360"/>
      </w:pPr>
      <w:rPr>
        <w:rFonts w:ascii="Calibri" w:eastAsiaTheme="minorHAns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A3F80064">
      <w:start w:val="1"/>
      <w:numFmt w:val="bullet"/>
      <w:lvlText w:val=""/>
      <w:lvlJc w:val="left"/>
      <w:pPr>
        <w:ind w:left="3240" w:hanging="360"/>
      </w:pPr>
      <w:rPr>
        <w:rFonts w:ascii="Wingdings" w:eastAsiaTheme="minorHAnsi" w:hAnsi="Wingdings" w:cstheme="minorBidi" w:hint="default"/>
        <w:b w:val="0"/>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B9047664">
      <w:numFmt w:val="bullet"/>
      <w:lvlText w:val=""/>
      <w:lvlJc w:val="left"/>
      <w:pPr>
        <w:ind w:left="5400" w:hanging="360"/>
      </w:pPr>
      <w:rPr>
        <w:rFonts w:ascii="Wingdings" w:eastAsiaTheme="minorHAnsi" w:hAnsi="Wingdings" w:cstheme="minorBidi"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202785551">
    <w:abstractNumId w:val="1"/>
  </w:num>
  <w:num w:numId="2" w16cid:durableId="94411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3B"/>
    <w:rsid w:val="00003F2F"/>
    <w:rsid w:val="00006F76"/>
    <w:rsid w:val="000076DD"/>
    <w:rsid w:val="00017573"/>
    <w:rsid w:val="00024699"/>
    <w:rsid w:val="00037658"/>
    <w:rsid w:val="00051555"/>
    <w:rsid w:val="00053760"/>
    <w:rsid w:val="00054E91"/>
    <w:rsid w:val="00055E15"/>
    <w:rsid w:val="00060380"/>
    <w:rsid w:val="00072AF5"/>
    <w:rsid w:val="00076DD3"/>
    <w:rsid w:val="00084688"/>
    <w:rsid w:val="00087266"/>
    <w:rsid w:val="00090CB8"/>
    <w:rsid w:val="00094946"/>
    <w:rsid w:val="000A7B43"/>
    <w:rsid w:val="000B2949"/>
    <w:rsid w:val="000B2AC6"/>
    <w:rsid w:val="000B3DC9"/>
    <w:rsid w:val="000C118B"/>
    <w:rsid w:val="000C181C"/>
    <w:rsid w:val="000C27CD"/>
    <w:rsid w:val="000C7BF4"/>
    <w:rsid w:val="000D20E6"/>
    <w:rsid w:val="000D3645"/>
    <w:rsid w:val="000D48C8"/>
    <w:rsid w:val="000D67FA"/>
    <w:rsid w:val="000F207F"/>
    <w:rsid w:val="000F6DDC"/>
    <w:rsid w:val="000F7C8E"/>
    <w:rsid w:val="00105BB0"/>
    <w:rsid w:val="00107088"/>
    <w:rsid w:val="001211F3"/>
    <w:rsid w:val="001235AB"/>
    <w:rsid w:val="00125322"/>
    <w:rsid w:val="00137D4E"/>
    <w:rsid w:val="00147242"/>
    <w:rsid w:val="00152717"/>
    <w:rsid w:val="001544F3"/>
    <w:rsid w:val="001654D1"/>
    <w:rsid w:val="00165571"/>
    <w:rsid w:val="001702D5"/>
    <w:rsid w:val="001708CF"/>
    <w:rsid w:val="00186A41"/>
    <w:rsid w:val="0018731B"/>
    <w:rsid w:val="00194A21"/>
    <w:rsid w:val="00194D32"/>
    <w:rsid w:val="001A0295"/>
    <w:rsid w:val="001A0677"/>
    <w:rsid w:val="001A0D96"/>
    <w:rsid w:val="001A255E"/>
    <w:rsid w:val="001A2640"/>
    <w:rsid w:val="001A4475"/>
    <w:rsid w:val="001B5647"/>
    <w:rsid w:val="001B567B"/>
    <w:rsid w:val="001C206C"/>
    <w:rsid w:val="001C6D5A"/>
    <w:rsid w:val="001D20BD"/>
    <w:rsid w:val="001E2010"/>
    <w:rsid w:val="001E3B3C"/>
    <w:rsid w:val="001F574A"/>
    <w:rsid w:val="001F786C"/>
    <w:rsid w:val="00200A92"/>
    <w:rsid w:val="00210B1A"/>
    <w:rsid w:val="00211EAF"/>
    <w:rsid w:val="002163B7"/>
    <w:rsid w:val="00216CD6"/>
    <w:rsid w:val="00222E5F"/>
    <w:rsid w:val="00224D65"/>
    <w:rsid w:val="0023012A"/>
    <w:rsid w:val="00231BA6"/>
    <w:rsid w:val="00233DDA"/>
    <w:rsid w:val="0024092D"/>
    <w:rsid w:val="0024103A"/>
    <w:rsid w:val="00244663"/>
    <w:rsid w:val="00247B45"/>
    <w:rsid w:val="002523C8"/>
    <w:rsid w:val="0025456C"/>
    <w:rsid w:val="00254863"/>
    <w:rsid w:val="00261694"/>
    <w:rsid w:val="00267AA7"/>
    <w:rsid w:val="00270C1A"/>
    <w:rsid w:val="00274EDB"/>
    <w:rsid w:val="00281AD6"/>
    <w:rsid w:val="00286B9F"/>
    <w:rsid w:val="00286E74"/>
    <w:rsid w:val="00287BBD"/>
    <w:rsid w:val="00290F64"/>
    <w:rsid w:val="0029191B"/>
    <w:rsid w:val="00292A02"/>
    <w:rsid w:val="00293CDD"/>
    <w:rsid w:val="00295BBF"/>
    <w:rsid w:val="00296A17"/>
    <w:rsid w:val="002A0F51"/>
    <w:rsid w:val="002A522F"/>
    <w:rsid w:val="002B18FC"/>
    <w:rsid w:val="002C4D0B"/>
    <w:rsid w:val="002D26F6"/>
    <w:rsid w:val="002E0296"/>
    <w:rsid w:val="002E33DD"/>
    <w:rsid w:val="002E6736"/>
    <w:rsid w:val="002F03AC"/>
    <w:rsid w:val="002F6398"/>
    <w:rsid w:val="0030244C"/>
    <w:rsid w:val="0030585B"/>
    <w:rsid w:val="003147A4"/>
    <w:rsid w:val="00324935"/>
    <w:rsid w:val="00334F41"/>
    <w:rsid w:val="00337C6C"/>
    <w:rsid w:val="00342F2C"/>
    <w:rsid w:val="00353032"/>
    <w:rsid w:val="003642E1"/>
    <w:rsid w:val="00367BE9"/>
    <w:rsid w:val="00370454"/>
    <w:rsid w:val="00370E54"/>
    <w:rsid w:val="00375BB3"/>
    <w:rsid w:val="003826D1"/>
    <w:rsid w:val="0039730C"/>
    <w:rsid w:val="003A358C"/>
    <w:rsid w:val="003A6A22"/>
    <w:rsid w:val="003B08E8"/>
    <w:rsid w:val="003B1E01"/>
    <w:rsid w:val="003B64D4"/>
    <w:rsid w:val="003B69EC"/>
    <w:rsid w:val="003B76A9"/>
    <w:rsid w:val="003C400D"/>
    <w:rsid w:val="003D1D9A"/>
    <w:rsid w:val="003D2848"/>
    <w:rsid w:val="003D7C32"/>
    <w:rsid w:val="003E3210"/>
    <w:rsid w:val="003E3502"/>
    <w:rsid w:val="003F3E2C"/>
    <w:rsid w:val="00403BC0"/>
    <w:rsid w:val="004060C8"/>
    <w:rsid w:val="00407BCE"/>
    <w:rsid w:val="00411656"/>
    <w:rsid w:val="0041229C"/>
    <w:rsid w:val="00420A94"/>
    <w:rsid w:val="0042167E"/>
    <w:rsid w:val="00422D43"/>
    <w:rsid w:val="00425107"/>
    <w:rsid w:val="00425DED"/>
    <w:rsid w:val="00436704"/>
    <w:rsid w:val="004372CD"/>
    <w:rsid w:val="00440BA4"/>
    <w:rsid w:val="0044626D"/>
    <w:rsid w:val="004470B4"/>
    <w:rsid w:val="00450F3B"/>
    <w:rsid w:val="00451D56"/>
    <w:rsid w:val="00451FFC"/>
    <w:rsid w:val="00462553"/>
    <w:rsid w:val="00464CAC"/>
    <w:rsid w:val="004661F6"/>
    <w:rsid w:val="004664E3"/>
    <w:rsid w:val="004704EE"/>
    <w:rsid w:val="00471AB1"/>
    <w:rsid w:val="00472EF5"/>
    <w:rsid w:val="00474F66"/>
    <w:rsid w:val="004810AF"/>
    <w:rsid w:val="0048433C"/>
    <w:rsid w:val="00484A3C"/>
    <w:rsid w:val="004867DA"/>
    <w:rsid w:val="004A0C58"/>
    <w:rsid w:val="004A35EE"/>
    <w:rsid w:val="004A6163"/>
    <w:rsid w:val="004A6DB2"/>
    <w:rsid w:val="004C0A95"/>
    <w:rsid w:val="004C0C83"/>
    <w:rsid w:val="004C3D1D"/>
    <w:rsid w:val="004C52D9"/>
    <w:rsid w:val="004D2372"/>
    <w:rsid w:val="004D431B"/>
    <w:rsid w:val="004D6BEA"/>
    <w:rsid w:val="004E075C"/>
    <w:rsid w:val="004E3494"/>
    <w:rsid w:val="004E54A6"/>
    <w:rsid w:val="004F28EF"/>
    <w:rsid w:val="004F47C1"/>
    <w:rsid w:val="004F6CE6"/>
    <w:rsid w:val="004F73BE"/>
    <w:rsid w:val="005018D5"/>
    <w:rsid w:val="005074BE"/>
    <w:rsid w:val="0051130E"/>
    <w:rsid w:val="00513317"/>
    <w:rsid w:val="005164AA"/>
    <w:rsid w:val="005214DA"/>
    <w:rsid w:val="005231A6"/>
    <w:rsid w:val="00523E36"/>
    <w:rsid w:val="00524711"/>
    <w:rsid w:val="00524DD9"/>
    <w:rsid w:val="005268D7"/>
    <w:rsid w:val="00527B4C"/>
    <w:rsid w:val="00540F58"/>
    <w:rsid w:val="0054209E"/>
    <w:rsid w:val="005424DE"/>
    <w:rsid w:val="0054288A"/>
    <w:rsid w:val="00543578"/>
    <w:rsid w:val="00546918"/>
    <w:rsid w:val="00550F6F"/>
    <w:rsid w:val="00552CDE"/>
    <w:rsid w:val="005553EC"/>
    <w:rsid w:val="0055621E"/>
    <w:rsid w:val="00561E2A"/>
    <w:rsid w:val="005625FC"/>
    <w:rsid w:val="005659F9"/>
    <w:rsid w:val="00573912"/>
    <w:rsid w:val="00576E66"/>
    <w:rsid w:val="00586CC1"/>
    <w:rsid w:val="005915C1"/>
    <w:rsid w:val="0059285C"/>
    <w:rsid w:val="005930D1"/>
    <w:rsid w:val="005A1536"/>
    <w:rsid w:val="005A4AA4"/>
    <w:rsid w:val="005A5456"/>
    <w:rsid w:val="005A5D7C"/>
    <w:rsid w:val="005B660E"/>
    <w:rsid w:val="005B7D52"/>
    <w:rsid w:val="005C1D62"/>
    <w:rsid w:val="005C4CEA"/>
    <w:rsid w:val="005C4EE7"/>
    <w:rsid w:val="005C581F"/>
    <w:rsid w:val="005C6DE6"/>
    <w:rsid w:val="005C7465"/>
    <w:rsid w:val="005D2085"/>
    <w:rsid w:val="005D21B9"/>
    <w:rsid w:val="005D225B"/>
    <w:rsid w:val="005D348F"/>
    <w:rsid w:val="005E165E"/>
    <w:rsid w:val="005F174B"/>
    <w:rsid w:val="0060031A"/>
    <w:rsid w:val="00601890"/>
    <w:rsid w:val="00606E6F"/>
    <w:rsid w:val="00615A5C"/>
    <w:rsid w:val="006160D4"/>
    <w:rsid w:val="00620244"/>
    <w:rsid w:val="00621DD4"/>
    <w:rsid w:val="00634620"/>
    <w:rsid w:val="006368DA"/>
    <w:rsid w:val="00637D6A"/>
    <w:rsid w:val="00643409"/>
    <w:rsid w:val="006444BA"/>
    <w:rsid w:val="006444D8"/>
    <w:rsid w:val="00656CA8"/>
    <w:rsid w:val="00660A5D"/>
    <w:rsid w:val="006715BE"/>
    <w:rsid w:val="0068013E"/>
    <w:rsid w:val="00680150"/>
    <w:rsid w:val="006839F6"/>
    <w:rsid w:val="00685259"/>
    <w:rsid w:val="006861B2"/>
    <w:rsid w:val="00697766"/>
    <w:rsid w:val="006A302D"/>
    <w:rsid w:val="006B053E"/>
    <w:rsid w:val="006E3AD9"/>
    <w:rsid w:val="006E5E53"/>
    <w:rsid w:val="006F224E"/>
    <w:rsid w:val="00703C9B"/>
    <w:rsid w:val="007077D6"/>
    <w:rsid w:val="0071347E"/>
    <w:rsid w:val="007169A2"/>
    <w:rsid w:val="00720541"/>
    <w:rsid w:val="007227FF"/>
    <w:rsid w:val="00724A8D"/>
    <w:rsid w:val="00734B08"/>
    <w:rsid w:val="0074221A"/>
    <w:rsid w:val="00755937"/>
    <w:rsid w:val="00756913"/>
    <w:rsid w:val="00756CF8"/>
    <w:rsid w:val="007709FB"/>
    <w:rsid w:val="00771E24"/>
    <w:rsid w:val="00774893"/>
    <w:rsid w:val="007820D4"/>
    <w:rsid w:val="00782F10"/>
    <w:rsid w:val="0078369C"/>
    <w:rsid w:val="007854FF"/>
    <w:rsid w:val="007921EE"/>
    <w:rsid w:val="00797C38"/>
    <w:rsid w:val="007B0F59"/>
    <w:rsid w:val="007B50BD"/>
    <w:rsid w:val="007C1471"/>
    <w:rsid w:val="007D079C"/>
    <w:rsid w:val="007D0C57"/>
    <w:rsid w:val="007D37A4"/>
    <w:rsid w:val="007D55DD"/>
    <w:rsid w:val="007D735D"/>
    <w:rsid w:val="007E18E9"/>
    <w:rsid w:val="007E5D09"/>
    <w:rsid w:val="007F287E"/>
    <w:rsid w:val="007F6EC1"/>
    <w:rsid w:val="00801D8E"/>
    <w:rsid w:val="00803E5E"/>
    <w:rsid w:val="008056F9"/>
    <w:rsid w:val="00805C1C"/>
    <w:rsid w:val="00810FC1"/>
    <w:rsid w:val="0081223B"/>
    <w:rsid w:val="008143FB"/>
    <w:rsid w:val="00814757"/>
    <w:rsid w:val="008212EA"/>
    <w:rsid w:val="00824175"/>
    <w:rsid w:val="00825CC3"/>
    <w:rsid w:val="00831705"/>
    <w:rsid w:val="00832EDF"/>
    <w:rsid w:val="008361FA"/>
    <w:rsid w:val="008405E1"/>
    <w:rsid w:val="0084473A"/>
    <w:rsid w:val="00844D77"/>
    <w:rsid w:val="00857118"/>
    <w:rsid w:val="008624C5"/>
    <w:rsid w:val="00862910"/>
    <w:rsid w:val="0086443C"/>
    <w:rsid w:val="00864B9E"/>
    <w:rsid w:val="00866A13"/>
    <w:rsid w:val="00874104"/>
    <w:rsid w:val="0088064E"/>
    <w:rsid w:val="00884E49"/>
    <w:rsid w:val="008855F9"/>
    <w:rsid w:val="00885656"/>
    <w:rsid w:val="00891B88"/>
    <w:rsid w:val="00892890"/>
    <w:rsid w:val="0089363A"/>
    <w:rsid w:val="00895A25"/>
    <w:rsid w:val="008A4D7A"/>
    <w:rsid w:val="008A7DE0"/>
    <w:rsid w:val="008B6381"/>
    <w:rsid w:val="008B6CE1"/>
    <w:rsid w:val="008D7B47"/>
    <w:rsid w:val="008E303D"/>
    <w:rsid w:val="008E5799"/>
    <w:rsid w:val="008E5A9B"/>
    <w:rsid w:val="008E6B87"/>
    <w:rsid w:val="008F7075"/>
    <w:rsid w:val="00902665"/>
    <w:rsid w:val="00923E6E"/>
    <w:rsid w:val="00937A97"/>
    <w:rsid w:val="0094035B"/>
    <w:rsid w:val="009412AC"/>
    <w:rsid w:val="009448AC"/>
    <w:rsid w:val="00945483"/>
    <w:rsid w:val="00946A4C"/>
    <w:rsid w:val="00952075"/>
    <w:rsid w:val="00956667"/>
    <w:rsid w:val="00956EEE"/>
    <w:rsid w:val="009605E5"/>
    <w:rsid w:val="0096522A"/>
    <w:rsid w:val="00965E6B"/>
    <w:rsid w:val="0096691B"/>
    <w:rsid w:val="009722C4"/>
    <w:rsid w:val="00972A22"/>
    <w:rsid w:val="00972F4B"/>
    <w:rsid w:val="009800D9"/>
    <w:rsid w:val="0099307E"/>
    <w:rsid w:val="0099331A"/>
    <w:rsid w:val="00993DBF"/>
    <w:rsid w:val="009A1497"/>
    <w:rsid w:val="009A1ADA"/>
    <w:rsid w:val="009A37D2"/>
    <w:rsid w:val="009B55E4"/>
    <w:rsid w:val="009B71D4"/>
    <w:rsid w:val="009B7C55"/>
    <w:rsid w:val="009E30B8"/>
    <w:rsid w:val="009E42D2"/>
    <w:rsid w:val="009F56B7"/>
    <w:rsid w:val="009F617D"/>
    <w:rsid w:val="009F6D2B"/>
    <w:rsid w:val="00A033A4"/>
    <w:rsid w:val="00A052BC"/>
    <w:rsid w:val="00A17033"/>
    <w:rsid w:val="00A173CB"/>
    <w:rsid w:val="00A20E1C"/>
    <w:rsid w:val="00A279DF"/>
    <w:rsid w:val="00A368DA"/>
    <w:rsid w:val="00A4260D"/>
    <w:rsid w:val="00A44F2A"/>
    <w:rsid w:val="00A47A2C"/>
    <w:rsid w:val="00A5278C"/>
    <w:rsid w:val="00A53E08"/>
    <w:rsid w:val="00A549A1"/>
    <w:rsid w:val="00A577EC"/>
    <w:rsid w:val="00A57BD1"/>
    <w:rsid w:val="00A61C2E"/>
    <w:rsid w:val="00A63E1B"/>
    <w:rsid w:val="00A67BB1"/>
    <w:rsid w:val="00A723DF"/>
    <w:rsid w:val="00A72AAF"/>
    <w:rsid w:val="00A73FB5"/>
    <w:rsid w:val="00A7403E"/>
    <w:rsid w:val="00A755D0"/>
    <w:rsid w:val="00A82210"/>
    <w:rsid w:val="00A85D34"/>
    <w:rsid w:val="00A924EA"/>
    <w:rsid w:val="00AA059E"/>
    <w:rsid w:val="00AA1ED9"/>
    <w:rsid w:val="00AC0B5F"/>
    <w:rsid w:val="00AD0BC6"/>
    <w:rsid w:val="00AD30E0"/>
    <w:rsid w:val="00AD44EF"/>
    <w:rsid w:val="00AE1DAC"/>
    <w:rsid w:val="00AE7FF6"/>
    <w:rsid w:val="00AF3CE5"/>
    <w:rsid w:val="00B0126F"/>
    <w:rsid w:val="00B03168"/>
    <w:rsid w:val="00B052C3"/>
    <w:rsid w:val="00B054DC"/>
    <w:rsid w:val="00B14C90"/>
    <w:rsid w:val="00B27F3C"/>
    <w:rsid w:val="00B31459"/>
    <w:rsid w:val="00B32B49"/>
    <w:rsid w:val="00B34A8D"/>
    <w:rsid w:val="00B37822"/>
    <w:rsid w:val="00B51008"/>
    <w:rsid w:val="00B516C7"/>
    <w:rsid w:val="00B51932"/>
    <w:rsid w:val="00B53B05"/>
    <w:rsid w:val="00B54D76"/>
    <w:rsid w:val="00B56B46"/>
    <w:rsid w:val="00B67992"/>
    <w:rsid w:val="00B704CE"/>
    <w:rsid w:val="00B729B9"/>
    <w:rsid w:val="00B72B24"/>
    <w:rsid w:val="00B74973"/>
    <w:rsid w:val="00B763DA"/>
    <w:rsid w:val="00B8131C"/>
    <w:rsid w:val="00B82430"/>
    <w:rsid w:val="00B91513"/>
    <w:rsid w:val="00B9390A"/>
    <w:rsid w:val="00B9614A"/>
    <w:rsid w:val="00BA0BDF"/>
    <w:rsid w:val="00BA7C92"/>
    <w:rsid w:val="00BA7EDE"/>
    <w:rsid w:val="00BB3C58"/>
    <w:rsid w:val="00BB6EEB"/>
    <w:rsid w:val="00BC0233"/>
    <w:rsid w:val="00BC3A30"/>
    <w:rsid w:val="00BC41F4"/>
    <w:rsid w:val="00BC5231"/>
    <w:rsid w:val="00BD0DCB"/>
    <w:rsid w:val="00BD365D"/>
    <w:rsid w:val="00BE15CE"/>
    <w:rsid w:val="00BE1880"/>
    <w:rsid w:val="00BE51F4"/>
    <w:rsid w:val="00BF06EF"/>
    <w:rsid w:val="00BF0EA7"/>
    <w:rsid w:val="00BF1EF5"/>
    <w:rsid w:val="00BF3D9F"/>
    <w:rsid w:val="00BF737A"/>
    <w:rsid w:val="00C00F66"/>
    <w:rsid w:val="00C0199F"/>
    <w:rsid w:val="00C05C87"/>
    <w:rsid w:val="00C077FC"/>
    <w:rsid w:val="00C07DA5"/>
    <w:rsid w:val="00C10D0F"/>
    <w:rsid w:val="00C17CB2"/>
    <w:rsid w:val="00C214FE"/>
    <w:rsid w:val="00C263DC"/>
    <w:rsid w:val="00C36277"/>
    <w:rsid w:val="00C3638F"/>
    <w:rsid w:val="00C45F77"/>
    <w:rsid w:val="00C50503"/>
    <w:rsid w:val="00C55479"/>
    <w:rsid w:val="00C60271"/>
    <w:rsid w:val="00C7740F"/>
    <w:rsid w:val="00C85E4B"/>
    <w:rsid w:val="00C901F8"/>
    <w:rsid w:val="00C90FDC"/>
    <w:rsid w:val="00C95336"/>
    <w:rsid w:val="00C95A81"/>
    <w:rsid w:val="00C9641F"/>
    <w:rsid w:val="00CA164E"/>
    <w:rsid w:val="00CA2370"/>
    <w:rsid w:val="00CA762D"/>
    <w:rsid w:val="00CB04BB"/>
    <w:rsid w:val="00CB1BC3"/>
    <w:rsid w:val="00CB20AC"/>
    <w:rsid w:val="00CC108B"/>
    <w:rsid w:val="00CC66B6"/>
    <w:rsid w:val="00CC7E30"/>
    <w:rsid w:val="00CD4FF3"/>
    <w:rsid w:val="00CD554F"/>
    <w:rsid w:val="00CD55A6"/>
    <w:rsid w:val="00CE27F9"/>
    <w:rsid w:val="00CE4E42"/>
    <w:rsid w:val="00CE57BF"/>
    <w:rsid w:val="00CE5994"/>
    <w:rsid w:val="00CE7043"/>
    <w:rsid w:val="00CF3347"/>
    <w:rsid w:val="00CF5F35"/>
    <w:rsid w:val="00D01CCF"/>
    <w:rsid w:val="00D26695"/>
    <w:rsid w:val="00D27D0D"/>
    <w:rsid w:val="00D319D6"/>
    <w:rsid w:val="00D36AB6"/>
    <w:rsid w:val="00D36B2F"/>
    <w:rsid w:val="00D53366"/>
    <w:rsid w:val="00D546F6"/>
    <w:rsid w:val="00D56158"/>
    <w:rsid w:val="00D5623D"/>
    <w:rsid w:val="00D61336"/>
    <w:rsid w:val="00D65F61"/>
    <w:rsid w:val="00D70706"/>
    <w:rsid w:val="00D71022"/>
    <w:rsid w:val="00D7197F"/>
    <w:rsid w:val="00D72A4F"/>
    <w:rsid w:val="00D82973"/>
    <w:rsid w:val="00D8557D"/>
    <w:rsid w:val="00D93633"/>
    <w:rsid w:val="00D94E08"/>
    <w:rsid w:val="00DA30D7"/>
    <w:rsid w:val="00DA37F4"/>
    <w:rsid w:val="00DA471B"/>
    <w:rsid w:val="00DB05B9"/>
    <w:rsid w:val="00DB0BAB"/>
    <w:rsid w:val="00DB204C"/>
    <w:rsid w:val="00DB316A"/>
    <w:rsid w:val="00DB6982"/>
    <w:rsid w:val="00DD1DAB"/>
    <w:rsid w:val="00DD26A0"/>
    <w:rsid w:val="00DD4612"/>
    <w:rsid w:val="00DE2294"/>
    <w:rsid w:val="00DF0F3D"/>
    <w:rsid w:val="00E01EB0"/>
    <w:rsid w:val="00E02DE6"/>
    <w:rsid w:val="00E0543D"/>
    <w:rsid w:val="00E14F2F"/>
    <w:rsid w:val="00E16AD2"/>
    <w:rsid w:val="00E177FB"/>
    <w:rsid w:val="00E31FC1"/>
    <w:rsid w:val="00E332F8"/>
    <w:rsid w:val="00E34677"/>
    <w:rsid w:val="00E3503F"/>
    <w:rsid w:val="00E35557"/>
    <w:rsid w:val="00E36180"/>
    <w:rsid w:val="00E3734E"/>
    <w:rsid w:val="00E3798D"/>
    <w:rsid w:val="00E447A0"/>
    <w:rsid w:val="00E520A2"/>
    <w:rsid w:val="00E52334"/>
    <w:rsid w:val="00E5308F"/>
    <w:rsid w:val="00E6102E"/>
    <w:rsid w:val="00E7763A"/>
    <w:rsid w:val="00E87FA2"/>
    <w:rsid w:val="00E955E5"/>
    <w:rsid w:val="00EA521E"/>
    <w:rsid w:val="00EB0AA9"/>
    <w:rsid w:val="00EB0F86"/>
    <w:rsid w:val="00EB1D9F"/>
    <w:rsid w:val="00EB32BF"/>
    <w:rsid w:val="00EC5441"/>
    <w:rsid w:val="00ED04FD"/>
    <w:rsid w:val="00ED1207"/>
    <w:rsid w:val="00ED7CD2"/>
    <w:rsid w:val="00EE3357"/>
    <w:rsid w:val="00EF55B9"/>
    <w:rsid w:val="00F058A3"/>
    <w:rsid w:val="00F05D2F"/>
    <w:rsid w:val="00F113EE"/>
    <w:rsid w:val="00F14430"/>
    <w:rsid w:val="00F15A38"/>
    <w:rsid w:val="00F207F2"/>
    <w:rsid w:val="00F20859"/>
    <w:rsid w:val="00F279CB"/>
    <w:rsid w:val="00F308CC"/>
    <w:rsid w:val="00F30BB8"/>
    <w:rsid w:val="00F36AD4"/>
    <w:rsid w:val="00F44D1B"/>
    <w:rsid w:val="00F57C39"/>
    <w:rsid w:val="00F62180"/>
    <w:rsid w:val="00F63A3C"/>
    <w:rsid w:val="00F735B9"/>
    <w:rsid w:val="00F84D7E"/>
    <w:rsid w:val="00F84FA8"/>
    <w:rsid w:val="00F90999"/>
    <w:rsid w:val="00F972D8"/>
    <w:rsid w:val="00FA0FC7"/>
    <w:rsid w:val="00FA7CEE"/>
    <w:rsid w:val="00FB1C18"/>
    <w:rsid w:val="00FB4812"/>
    <w:rsid w:val="00FB65F1"/>
    <w:rsid w:val="00FC019B"/>
    <w:rsid w:val="00FC12FD"/>
    <w:rsid w:val="00FC512C"/>
    <w:rsid w:val="00FD620D"/>
    <w:rsid w:val="00FE0D81"/>
    <w:rsid w:val="00FE2DA3"/>
    <w:rsid w:val="00FE6550"/>
    <w:rsid w:val="00FF2B4D"/>
    <w:rsid w:val="00FF6C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99A1"/>
  <w15:chartTrackingRefBased/>
  <w15:docId w15:val="{5B30F170-C8BB-4BAF-933B-775DC15F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01F8"/>
    <w:rPr>
      <w:color w:val="0000FF"/>
      <w:u w:val="single"/>
    </w:rPr>
  </w:style>
  <w:style w:type="paragraph" w:styleId="Lijstalinea">
    <w:name w:val="List Paragraph"/>
    <w:basedOn w:val="Standaard"/>
    <w:uiPriority w:val="34"/>
    <w:qFormat/>
    <w:rsid w:val="00C901F8"/>
    <w:pPr>
      <w:ind w:left="720"/>
      <w:contextualSpacing/>
    </w:pPr>
  </w:style>
  <w:style w:type="paragraph" w:styleId="Koptekst">
    <w:name w:val="header"/>
    <w:basedOn w:val="Standaard"/>
    <w:link w:val="KoptekstChar"/>
    <w:uiPriority w:val="99"/>
    <w:unhideWhenUsed/>
    <w:rsid w:val="005A4A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4AA4"/>
  </w:style>
  <w:style w:type="paragraph" w:styleId="Voettekst">
    <w:name w:val="footer"/>
    <w:basedOn w:val="Standaard"/>
    <w:link w:val="VoettekstChar"/>
    <w:uiPriority w:val="99"/>
    <w:unhideWhenUsed/>
    <w:rsid w:val="005A4A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4AA4"/>
  </w:style>
  <w:style w:type="character" w:styleId="Verwijzingopmerking">
    <w:name w:val="annotation reference"/>
    <w:basedOn w:val="Standaardalinea-lettertype"/>
    <w:uiPriority w:val="99"/>
    <w:semiHidden/>
    <w:unhideWhenUsed/>
    <w:rsid w:val="00FC12FD"/>
    <w:rPr>
      <w:sz w:val="16"/>
      <w:szCs w:val="16"/>
    </w:rPr>
  </w:style>
  <w:style w:type="paragraph" w:styleId="Tekstopmerking">
    <w:name w:val="annotation text"/>
    <w:basedOn w:val="Standaard"/>
    <w:link w:val="TekstopmerkingChar"/>
    <w:uiPriority w:val="99"/>
    <w:semiHidden/>
    <w:unhideWhenUsed/>
    <w:rsid w:val="00FC12F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12FD"/>
    <w:rPr>
      <w:sz w:val="20"/>
      <w:szCs w:val="20"/>
    </w:rPr>
  </w:style>
  <w:style w:type="paragraph" w:styleId="Onderwerpvanopmerking">
    <w:name w:val="annotation subject"/>
    <w:basedOn w:val="Tekstopmerking"/>
    <w:next w:val="Tekstopmerking"/>
    <w:link w:val="OnderwerpvanopmerkingChar"/>
    <w:uiPriority w:val="99"/>
    <w:semiHidden/>
    <w:unhideWhenUsed/>
    <w:rsid w:val="00FC12FD"/>
    <w:rPr>
      <w:b/>
      <w:bCs/>
    </w:rPr>
  </w:style>
  <w:style w:type="character" w:customStyle="1" w:styleId="OnderwerpvanopmerkingChar">
    <w:name w:val="Onderwerp van opmerking Char"/>
    <w:basedOn w:val="TekstopmerkingChar"/>
    <w:link w:val="Onderwerpvanopmerking"/>
    <w:uiPriority w:val="99"/>
    <w:semiHidden/>
    <w:rsid w:val="00FC12FD"/>
    <w:rPr>
      <w:b/>
      <w:bCs/>
      <w:sz w:val="20"/>
      <w:szCs w:val="20"/>
    </w:rPr>
  </w:style>
  <w:style w:type="character" w:styleId="Onopgelostemelding">
    <w:name w:val="Unresolved Mention"/>
    <w:basedOn w:val="Standaardalinea-lettertype"/>
    <w:uiPriority w:val="99"/>
    <w:semiHidden/>
    <w:unhideWhenUsed/>
    <w:rsid w:val="00BD365D"/>
    <w:rPr>
      <w:color w:val="605E5C"/>
      <w:shd w:val="clear" w:color="auto" w:fill="E1DFDD"/>
    </w:rPr>
  </w:style>
  <w:style w:type="character" w:styleId="GevolgdeHyperlink">
    <w:name w:val="FollowedHyperlink"/>
    <w:basedOn w:val="Standaardalinea-lettertype"/>
    <w:uiPriority w:val="99"/>
    <w:semiHidden/>
    <w:unhideWhenUsed/>
    <w:rsid w:val="00BF0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3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partementwvg.be/vipa-personen-met-een-handicap-subsidies" TargetMode="External"/><Relationship Id="rId18" Type="http://schemas.openxmlformats.org/officeDocument/2006/relationships/hyperlink" Target="https://www.departementzorg.be/nl/samenstelling-vipa-aanvraag-klassieke-betoelag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odex.vlaanderen.be/PrintDocument.ashx?id=1029796&amp;datum=&amp;geannoteerd=false&amp;print=false" TargetMode="External"/><Relationship Id="rId17" Type="http://schemas.openxmlformats.org/officeDocument/2006/relationships/hyperlink" Target="https://www.departementzorg.be/nl/indexcijfers-en-dagforfaits-forfaitaire-betoelaging" TargetMode="External"/><Relationship Id="rId2" Type="http://schemas.openxmlformats.org/officeDocument/2006/relationships/customXml" Target="../customXml/item2.xml"/><Relationship Id="rId16" Type="http://schemas.openxmlformats.org/officeDocument/2006/relationships/hyperlink" Target="https://www.departementzorg.be/nl/indexcijfers-en-dagforfaits-forfaitaire-betoelag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ALL/?uri=CELEX%3A32012D0021" TargetMode="External"/><Relationship Id="rId5" Type="http://schemas.openxmlformats.org/officeDocument/2006/relationships/numbering" Target="numbering.xml"/><Relationship Id="rId15" Type="http://schemas.openxmlformats.org/officeDocument/2006/relationships/hyperlink" Target="https://www.departementzorg.be/nl/bestemmingsbeslu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partementzorg.be/nl/samenstelling-vipa-aanvraag-klassieke-betoelag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partementzorg.be/nl/bestemmingsbesluit"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146a0-5747-4894-b802-94302509814c">
      <Terms xmlns="http://schemas.microsoft.com/office/infopath/2007/PartnerControls"/>
    </lcf76f155ced4ddcb4097134ff3c332f>
    <TaxCatchAll xmlns="9a9ec0f0-7796-43d0-ac1f-4c8c46ee0b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D47932C03B94EBDDC7F23B47A1D37" ma:contentTypeVersion="18" ma:contentTypeDescription="Een nieuw document maken." ma:contentTypeScope="" ma:versionID="4165addec4b597826b23e8a78eb3dad7">
  <xsd:schema xmlns:xsd="http://www.w3.org/2001/XMLSchema" xmlns:xs="http://www.w3.org/2001/XMLSchema" xmlns:p="http://schemas.microsoft.com/office/2006/metadata/properties" xmlns:ns2="0c9146a0-5747-4894-b802-94302509814c" xmlns:ns3="1d1e5acb-1ded-409b-b259-6d5dfca81942" xmlns:ns4="9a9ec0f0-7796-43d0-ac1f-4c8c46ee0bd1" targetNamespace="http://schemas.microsoft.com/office/2006/metadata/properties" ma:root="true" ma:fieldsID="ac07e73c6fe6b4e0d9808d21ab47019b" ns2:_="" ns3:_="" ns4:_="">
    <xsd:import namespace="0c9146a0-5747-4894-b802-94302509814c"/>
    <xsd:import namespace="1d1e5acb-1ded-409b-b259-6d5dfca81942"/>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146a0-5747-4894-b802-943025098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5acb-1ded-409b-b259-6d5dfca8194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F2E13-0705-4206-83A3-C04D4E5198E9}">
  <ds:schemaRefs>
    <ds:schemaRef ds:uri="http://schemas.openxmlformats.org/officeDocument/2006/bibliography"/>
  </ds:schemaRefs>
</ds:datastoreItem>
</file>

<file path=customXml/itemProps2.xml><?xml version="1.0" encoding="utf-8"?>
<ds:datastoreItem xmlns:ds="http://schemas.openxmlformats.org/officeDocument/2006/customXml" ds:itemID="{BF25B9A1-559B-452D-9590-8B477B87DAE0}">
  <ds:schemaRefs>
    <ds:schemaRef ds:uri="http://schemas.microsoft.com/sharepoint/v3/contenttype/forms"/>
  </ds:schemaRefs>
</ds:datastoreItem>
</file>

<file path=customXml/itemProps3.xml><?xml version="1.0" encoding="utf-8"?>
<ds:datastoreItem xmlns:ds="http://schemas.openxmlformats.org/officeDocument/2006/customXml" ds:itemID="{46023101-CC2A-4672-AAC1-887EE12E38F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1d1e5acb-1ded-409b-b259-6d5dfca81942"/>
    <ds:schemaRef ds:uri="9a9ec0f0-7796-43d0-ac1f-4c8c46ee0bd1"/>
    <ds:schemaRef ds:uri="http://schemas.openxmlformats.org/package/2006/metadata/core-properties"/>
    <ds:schemaRef ds:uri="0c9146a0-5747-4894-b802-94302509814c"/>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D5D8FC5F-FAEC-464B-9A85-3A73A282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146a0-5747-4894-b802-94302509814c"/>
    <ds:schemaRef ds:uri="1d1e5acb-1ded-409b-b259-6d5dfca81942"/>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4586</Words>
  <Characters>25224</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Vermeiren Nico</dc:creator>
  <cp:keywords/>
  <dc:description/>
  <cp:lastModifiedBy>Cousaert Christophe</cp:lastModifiedBy>
  <cp:revision>2</cp:revision>
  <dcterms:created xsi:type="dcterms:W3CDTF">2026-01-14T08:14:00Z</dcterms:created>
  <dcterms:modified xsi:type="dcterms:W3CDTF">2026-01-14T08:14:00Z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0x010100704D47932C03B94EBDDC7F23B47A1D37</vt:lpwstr>
  </property>
  <property fmtid="{D5CDD505-2E9C-101B-9397-08002B2CF9AE}" pid="3" name="MediaServiceImageTags">
    <vt:lpwstr/>
  </property>
  <property fmtid="{D5CDD505-2E9C-101B-9397-08002B2CF9AE}" pid="4" name="docLang">
    <vt:lpwstr>nl</vt:lpwstr>
  </property>
</Properties>
</file>