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C21BC" w14:textId="1831D3C3" w:rsidR="009C530F" w:rsidRPr="00EA4C6D" w:rsidRDefault="009C530F" w:rsidP="009C530F">
      <w:pPr>
        <w:jc w:val="both"/>
      </w:pPr>
      <w:r>
        <w:t xml:space="preserve">De grondbeginselen van de VIPA-oproep dragen bij aan DNSH. Geselecteerde projecten voor de VIPA-oproep zullen bijgevolg positief evalueren op de meerderheid van de 6 DNSH-criteria. Het invullen van het sjabloon vereenvoudigde analyse (Excel VIPA </w:t>
      </w:r>
      <w:r w:rsidR="003E2100">
        <w:t>evaluatie</w:t>
      </w:r>
      <w:r>
        <w:t xml:space="preserve">sjabloon, </w:t>
      </w:r>
      <w:r w:rsidR="00554937">
        <w:t>tabblad</w:t>
      </w:r>
      <w:r>
        <w:t xml:space="preserve"> </w:t>
      </w:r>
      <w:r w:rsidR="003402CD">
        <w:t>DNSH</w:t>
      </w:r>
      <w:r>
        <w:t>)</w:t>
      </w:r>
      <w:r w:rsidR="00927FF0">
        <w:t xml:space="preserve"> en het contractueel bindend maken van het DNSH-beginsel</w:t>
      </w:r>
      <w:r w:rsidR="007723BC">
        <w:t xml:space="preserve"> zijn </w:t>
      </w:r>
      <w:r>
        <w:t>in dit kader de belangrijkste rapportage actie</w:t>
      </w:r>
      <w:r w:rsidR="007723BC">
        <w:t>s</w:t>
      </w:r>
      <w:r>
        <w:t>. Dit sjabloon dient ingevuld te worden door elke actor in het bouwproces (bouwheer= voorziening).</w:t>
      </w:r>
      <w:r>
        <w:tab/>
      </w:r>
      <w:r>
        <w:br/>
        <w:t xml:space="preserve">Ter juridische volledigheid dient deze DNSH modelclausule mee in acht genomen te worden door elke partner in het uitvoeringsproces van het project.  </w:t>
      </w:r>
      <w:r w:rsidR="00D8512C">
        <w:t xml:space="preserve">Sommige verwijzingen </w:t>
      </w:r>
      <w:r w:rsidR="005807D2">
        <w:t xml:space="preserve">staan ver af van het project dat u als voorziening uitvoert, maar dienen we vanuit </w:t>
      </w:r>
      <w:r w:rsidR="004908C5">
        <w:t>een juridische volledigheid mee naar jullie te communiceren.</w:t>
      </w:r>
      <w:r w:rsidR="005807D2">
        <w:t xml:space="preserve"> </w:t>
      </w:r>
    </w:p>
    <w:p w14:paraId="274DD9E2" w14:textId="5356349F" w:rsidR="00EA4C6D" w:rsidRPr="00EA4C6D" w:rsidRDefault="000262CE" w:rsidP="008D2AD5">
      <w:pPr>
        <w:shd w:val="clear" w:color="auto" w:fill="C1E4F5" w:themeFill="accent1" w:themeFillTint="33"/>
        <w:jc w:val="center"/>
        <w:rPr>
          <w:b/>
          <w:bCs/>
          <w:u w:val="single"/>
        </w:rPr>
      </w:pPr>
      <w:r>
        <w:rPr>
          <w:b/>
          <w:bCs/>
          <w:u w:val="single"/>
        </w:rPr>
        <w:t xml:space="preserve">DNSH </w:t>
      </w:r>
      <w:r w:rsidR="00EA4C6D">
        <w:rPr>
          <w:b/>
          <w:bCs/>
          <w:u w:val="single"/>
        </w:rPr>
        <w:t>MODELCLAUSULE:</w:t>
      </w:r>
    </w:p>
    <w:p w14:paraId="5CC213AA" w14:textId="714B56F1" w:rsidR="00EA4C6D" w:rsidRDefault="00EA4C6D" w:rsidP="00EA4C6D">
      <w:pPr>
        <w:jc w:val="both"/>
      </w:pPr>
      <w:r w:rsidRPr="00EA4C6D">
        <w:rPr>
          <w:i/>
          <w:iCs/>
        </w:rPr>
        <w:t xml:space="preserve">Om financiering te kunnen krijgen, dient het project het beginsel “geen ernstige afbreuk doen aan” (ofwel “do no significant </w:t>
      </w:r>
      <w:proofErr w:type="spellStart"/>
      <w:r w:rsidRPr="00EA4C6D">
        <w:rPr>
          <w:i/>
          <w:iCs/>
        </w:rPr>
        <w:t>harm</w:t>
      </w:r>
      <w:proofErr w:type="spellEnd"/>
      <w:r w:rsidRPr="00EA4C6D">
        <w:rPr>
          <w:i/>
          <w:iCs/>
        </w:rPr>
        <w:t>” (DNSH)) in acht te nemen. De uitgekeerde subsidies mogen enkel aangewend worden op een wijze die geen ernstige afbreuk doet aan de volgende zes milieudoelstellingen: 1) de mitigatie van de klimaatverandering; 2) de adaptatie aan de klimaatverandering; 3) het water en marine leven (inclusief grondwater); 4) de circulaire economie; 5) preventie en controle van vervuiling en 6) biodiversiteit en ecosystemen.</w:t>
      </w:r>
      <w:r w:rsidRPr="00EA4C6D">
        <w:t> </w:t>
      </w:r>
    </w:p>
    <w:p w14:paraId="1D335ADB" w14:textId="1BADDC80" w:rsidR="00A4165B" w:rsidRPr="000C6857" w:rsidRDefault="00A4165B" w:rsidP="00EA4C6D">
      <w:pPr>
        <w:jc w:val="both"/>
        <w:rPr>
          <w:b/>
          <w:bCs/>
        </w:rPr>
      </w:pPr>
      <w:r w:rsidRPr="000C6857">
        <w:rPr>
          <w:b/>
          <w:bCs/>
        </w:rPr>
        <w:t xml:space="preserve">Het </w:t>
      </w:r>
      <w:r w:rsidR="00D46C39" w:rsidRPr="000C6857">
        <w:rPr>
          <w:b/>
          <w:bCs/>
        </w:rPr>
        <w:t xml:space="preserve">niet nakomen van één van de DNSH-beginselen is een uitsluitingsvoorwaarde voor </w:t>
      </w:r>
      <w:r w:rsidR="000C6857" w:rsidRPr="000C6857">
        <w:rPr>
          <w:b/>
          <w:bCs/>
        </w:rPr>
        <w:t xml:space="preserve">het toekennen, uitbetalen of behouden van de </w:t>
      </w:r>
      <w:proofErr w:type="spellStart"/>
      <w:r w:rsidR="000C6857" w:rsidRPr="000C6857">
        <w:rPr>
          <w:b/>
          <w:bCs/>
        </w:rPr>
        <w:t>Repower</w:t>
      </w:r>
      <w:proofErr w:type="spellEnd"/>
      <w:r w:rsidR="000C6857" w:rsidRPr="000C6857">
        <w:rPr>
          <w:b/>
          <w:bCs/>
        </w:rPr>
        <w:t xml:space="preserve"> EU subsidies.</w:t>
      </w:r>
    </w:p>
    <w:p w14:paraId="1B99A6AA" w14:textId="77777777" w:rsidR="008B5272" w:rsidRDefault="008B5272" w:rsidP="00EA4C6D">
      <w:pPr>
        <w:jc w:val="both"/>
        <w:rPr>
          <w:b/>
          <w:bCs/>
          <w:i/>
          <w:iCs/>
        </w:rPr>
      </w:pPr>
    </w:p>
    <w:p w14:paraId="5620E143" w14:textId="709B95FB" w:rsidR="00EA4C6D" w:rsidRDefault="00EA4C6D" w:rsidP="00EA4C6D">
      <w:pPr>
        <w:jc w:val="both"/>
      </w:pPr>
      <w:r w:rsidRPr="00EA4C6D">
        <w:rPr>
          <w:b/>
          <w:bCs/>
          <w:i/>
          <w:iCs/>
        </w:rPr>
        <w:t>Het project moet voldoen aan alle wettelijke verplichtingen, meer bepaald de Europese, nationale en Vlaamse milieuwetgeving.</w:t>
      </w:r>
      <w:r w:rsidRPr="00EA4C6D">
        <w:t> </w:t>
      </w:r>
    </w:p>
    <w:p w14:paraId="466EB3E9" w14:textId="4565302B" w:rsidR="00EA4C6D" w:rsidRPr="00EA4C6D" w:rsidRDefault="00EA4C6D" w:rsidP="00EA4C6D">
      <w:pPr>
        <w:jc w:val="both"/>
      </w:pPr>
      <w:r w:rsidRPr="00EA4C6D">
        <w:rPr>
          <w:i/>
          <w:iCs/>
        </w:rPr>
        <w:t>Volgende activiteiten mogen in geen enkel geval onderdeel uitmaken van het project (exclusie lijst</w:t>
      </w:r>
      <w:r w:rsidR="00B70DC3">
        <w:rPr>
          <w:i/>
          <w:iCs/>
        </w:rPr>
        <w:t>)</w:t>
      </w:r>
      <w:r w:rsidR="00B70DC3">
        <w:rPr>
          <w:rStyle w:val="Voetnootmarkering"/>
          <w:i/>
          <w:iCs/>
        </w:rPr>
        <w:footnoteReference w:id="2"/>
      </w:r>
      <w:r w:rsidRPr="00EA4C6D">
        <w:rPr>
          <w:i/>
          <w:iCs/>
        </w:rPr>
        <w:t>:</w:t>
      </w:r>
      <w:r w:rsidRPr="00EA4C6D">
        <w:t> </w:t>
      </w:r>
    </w:p>
    <w:p w14:paraId="1FF8D30E" w14:textId="0B6D4E00" w:rsidR="00EA4C6D" w:rsidRPr="00EA4C6D" w:rsidRDefault="00EA4C6D" w:rsidP="00EA4C6D">
      <w:pPr>
        <w:numPr>
          <w:ilvl w:val="0"/>
          <w:numId w:val="1"/>
        </w:numPr>
        <w:jc w:val="both"/>
      </w:pPr>
      <w:r w:rsidRPr="00EA4C6D">
        <w:t>Activiteiten met betrekking tot fossiele brandstoffen en investeringen in verband met fossiele brandstoffen, inclusief het downstreamgebruik ervan</w:t>
      </w:r>
      <w:r>
        <w:t>;</w:t>
      </w:r>
      <w:r w:rsidRPr="00EA4C6D">
        <w:t> </w:t>
      </w:r>
    </w:p>
    <w:p w14:paraId="27C578A9" w14:textId="268A2C0B" w:rsidR="00EA4C6D" w:rsidRPr="00EA4C6D" w:rsidRDefault="00EA4C6D" w:rsidP="00EA4C6D">
      <w:pPr>
        <w:numPr>
          <w:ilvl w:val="0"/>
          <w:numId w:val="2"/>
        </w:numPr>
        <w:jc w:val="both"/>
      </w:pPr>
      <w:r w:rsidRPr="00EA4C6D">
        <w:t>(Industriële) Activiteiten die vallen onder de ‘</w:t>
      </w:r>
      <w:proofErr w:type="spellStart"/>
      <w:r w:rsidRPr="00EA4C6D">
        <w:t>Emission</w:t>
      </w:r>
      <w:proofErr w:type="spellEnd"/>
      <w:r w:rsidRPr="00EA4C6D">
        <w:t xml:space="preserve"> </w:t>
      </w:r>
      <w:proofErr w:type="spellStart"/>
      <w:r w:rsidRPr="00EA4C6D">
        <w:t>Trading</w:t>
      </w:r>
      <w:proofErr w:type="spellEnd"/>
      <w:r w:rsidRPr="00EA4C6D">
        <w:t xml:space="preserve"> </w:t>
      </w:r>
      <w:proofErr w:type="spellStart"/>
      <w:r w:rsidRPr="00EA4C6D">
        <w:t>Scheme</w:t>
      </w:r>
      <w:proofErr w:type="spellEnd"/>
      <w:r w:rsidRPr="00EA4C6D">
        <w:t>’ van de Europese Unie met voorziene emissies die niet lager liggen dan de desbetreffende benchmarks (de 10% meest efficiënte alternatieven)</w:t>
      </w:r>
      <w:r>
        <w:t>;</w:t>
      </w:r>
      <w:r w:rsidRPr="00EA4C6D">
        <w:t>  </w:t>
      </w:r>
      <w:r w:rsidR="00EE0D45">
        <w:rPr>
          <w:rStyle w:val="Voetnootmarkering"/>
        </w:rPr>
        <w:footnoteReference w:id="3"/>
      </w:r>
    </w:p>
    <w:p w14:paraId="5DB2A430" w14:textId="2E09E6C1" w:rsidR="00EA4C6D" w:rsidRPr="00EA4C6D" w:rsidRDefault="00EA4C6D" w:rsidP="00EA4C6D">
      <w:pPr>
        <w:numPr>
          <w:ilvl w:val="0"/>
          <w:numId w:val="3"/>
        </w:numPr>
        <w:jc w:val="both"/>
      </w:pPr>
      <w:r w:rsidRPr="00EA4C6D">
        <w:t>Investeringen in faciliteiten voor afvalverwerking in stortplaatsen, mechanische biologische behandeling en verbrandingsinstallaties</w:t>
      </w:r>
      <w:r>
        <w:t>;</w:t>
      </w:r>
      <w:r w:rsidRPr="00EA4C6D">
        <w:rPr>
          <w:rFonts w:ascii="Arial" w:hAnsi="Arial" w:cs="Arial"/>
        </w:rPr>
        <w:t> </w:t>
      </w:r>
      <w:r w:rsidRPr="00EA4C6D">
        <w:t> </w:t>
      </w:r>
    </w:p>
    <w:p w14:paraId="2951B981" w14:textId="01B8F56D" w:rsidR="00EA4C6D" w:rsidRPr="00EA4C6D" w:rsidRDefault="00EA4C6D" w:rsidP="00EA4C6D">
      <w:pPr>
        <w:numPr>
          <w:ilvl w:val="0"/>
          <w:numId w:val="4"/>
        </w:numPr>
        <w:jc w:val="both"/>
      </w:pPr>
      <w:r w:rsidRPr="00EA4C6D">
        <w:t>Activiteiten waarbij afvalverwijdering op lange termijn milieuschade kan veroorzaken (zoals nucleair afval</w:t>
      </w:r>
      <w:r w:rsidR="008278A4">
        <w:t>, asbest</w:t>
      </w:r>
      <w:r w:rsidR="00C92448">
        <w:t>, …</w:t>
      </w:r>
      <w:r w:rsidRPr="00EA4C6D">
        <w:t>)</w:t>
      </w:r>
      <w:r>
        <w:t>;</w:t>
      </w:r>
      <w:r w:rsidRPr="00EA4C6D">
        <w:t> </w:t>
      </w:r>
    </w:p>
    <w:p w14:paraId="6234C711" w14:textId="77777777" w:rsidR="00192FE6" w:rsidRDefault="00192FE6" w:rsidP="00B2450B">
      <w:pPr>
        <w:jc w:val="both"/>
        <w:rPr>
          <w:i/>
          <w:iCs/>
        </w:rPr>
      </w:pPr>
    </w:p>
    <w:p w14:paraId="3F464B33" w14:textId="38F554D0" w:rsidR="00EA4C6D" w:rsidRPr="00A63C1A" w:rsidRDefault="00EA4C6D" w:rsidP="00B2450B">
      <w:pPr>
        <w:jc w:val="both"/>
      </w:pPr>
      <w:r w:rsidRPr="00A63C1A">
        <w:lastRenderedPageBreak/>
        <w:t>Bij de projectaanvraag moet een DNSH-analyse</w:t>
      </w:r>
      <w:r w:rsidR="00221799" w:rsidRPr="00A63C1A">
        <w:rPr>
          <w:rStyle w:val="Voetnootmarkering"/>
        </w:rPr>
        <w:footnoteReference w:id="4"/>
      </w:r>
      <w:r w:rsidRPr="00A63C1A">
        <w:t xml:space="preserve"> worden </w:t>
      </w:r>
      <w:r w:rsidR="007440C8" w:rsidRPr="00A63C1A">
        <w:t>uitgevoerd</w:t>
      </w:r>
      <w:r w:rsidRPr="00A63C1A">
        <w:t xml:space="preserve"> die waar nodig met bewijsstukken wordt gestaafd. Voor het uitvoeren van de </w:t>
      </w:r>
      <w:r w:rsidR="00F0262D" w:rsidRPr="00A63C1A">
        <w:t xml:space="preserve">vereenvoudigde </w:t>
      </w:r>
      <w:r w:rsidRPr="00A63C1A">
        <w:t>DNSH-analyse kan de aanvrager gebruik maken van h</w:t>
      </w:r>
      <w:r w:rsidR="00B2450B" w:rsidRPr="00A63C1A">
        <w:t>et sjabloon</w:t>
      </w:r>
      <w:r w:rsidR="00F80616" w:rsidRPr="00A63C1A">
        <w:t xml:space="preserve"> (VIPA </w:t>
      </w:r>
      <w:proofErr w:type="spellStart"/>
      <w:r w:rsidR="00F80616" w:rsidRPr="00A63C1A">
        <w:t>excel</w:t>
      </w:r>
      <w:proofErr w:type="spellEnd"/>
      <w:r w:rsidR="00F80616" w:rsidRPr="00A63C1A">
        <w:t xml:space="preserve">, </w:t>
      </w:r>
      <w:r w:rsidR="00FE0595">
        <w:t>tabblad</w:t>
      </w:r>
      <w:r w:rsidR="00F80616" w:rsidRPr="00A63C1A">
        <w:t xml:space="preserve"> 3)</w:t>
      </w:r>
      <w:r w:rsidR="00B2450B" w:rsidRPr="00A63C1A">
        <w:t xml:space="preserve"> </w:t>
      </w:r>
      <w:r w:rsidRPr="00A63C1A">
        <w:t>dat ter beschikking wordt gesteld. Richtlijnen over hoe deze analyse dient te gebeuren</w:t>
      </w:r>
      <w:r w:rsidR="00DF62E3" w:rsidRPr="00A63C1A">
        <w:t>,</w:t>
      </w:r>
      <w:r w:rsidRPr="00A63C1A">
        <w:t xml:space="preserve"> staa</w:t>
      </w:r>
      <w:r w:rsidR="00DF62E3" w:rsidRPr="00A63C1A">
        <w:t>n</w:t>
      </w:r>
      <w:r w:rsidRPr="00A63C1A">
        <w:t xml:space="preserve"> in het sjabloon. </w:t>
      </w:r>
      <w:r w:rsidR="001A53A7" w:rsidRPr="00A63C1A">
        <w:t xml:space="preserve">VIPA als </w:t>
      </w:r>
      <w:r w:rsidR="008E1343" w:rsidRPr="00A63C1A">
        <w:t>subsidiërende</w:t>
      </w:r>
      <w:r w:rsidR="001A53A7" w:rsidRPr="00A63C1A">
        <w:t xml:space="preserve"> </w:t>
      </w:r>
      <w:r w:rsidR="00E826FE" w:rsidRPr="00A63C1A">
        <w:t>o</w:t>
      </w:r>
      <w:r w:rsidR="001A53A7" w:rsidRPr="00A63C1A">
        <w:t>verheid</w:t>
      </w:r>
      <w:r w:rsidR="008E1343" w:rsidRPr="00A63C1A">
        <w:t xml:space="preserve"> en</w:t>
      </w:r>
      <w:r w:rsidR="004851B9" w:rsidRPr="00A63C1A">
        <w:t xml:space="preserve"> de </w:t>
      </w:r>
      <w:r w:rsidR="00E855F6" w:rsidRPr="00A63C1A">
        <w:t>aanbestedende</w:t>
      </w:r>
      <w:r w:rsidR="004851B9" w:rsidRPr="00A63C1A">
        <w:t xml:space="preserve"> opdrachtgever</w:t>
      </w:r>
      <w:r w:rsidR="00E855F6" w:rsidRPr="00A63C1A">
        <w:t xml:space="preserve"> (=Zorg-/Welzijnsvoorziening)</w:t>
      </w:r>
      <w:r w:rsidR="008E1343" w:rsidRPr="00A63C1A">
        <w:t xml:space="preserve"> </w:t>
      </w:r>
      <w:r w:rsidRPr="00A63C1A">
        <w:t>he</w:t>
      </w:r>
      <w:r w:rsidR="00E826FE" w:rsidRPr="00A63C1A">
        <w:t>bben</w:t>
      </w:r>
      <w:r w:rsidRPr="00A63C1A">
        <w:t xml:space="preserve"> het</w:t>
      </w:r>
      <w:r w:rsidRPr="00A63C1A">
        <w:rPr>
          <w:rFonts w:ascii="Arial" w:hAnsi="Arial" w:cs="Arial"/>
        </w:rPr>
        <w:t> </w:t>
      </w:r>
      <w:r w:rsidRPr="00A63C1A">
        <w:t xml:space="preserve">recht om bijkomende vragen te stellen </w:t>
      </w:r>
      <w:proofErr w:type="spellStart"/>
      <w:r w:rsidRPr="00A63C1A">
        <w:t>i.k.v</w:t>
      </w:r>
      <w:proofErr w:type="spellEnd"/>
      <w:r w:rsidRPr="00A63C1A">
        <w:t>. de DNSH-analyse en k</w:t>
      </w:r>
      <w:r w:rsidR="00E826FE" w:rsidRPr="00A63C1A">
        <w:t>unnen</w:t>
      </w:r>
      <w:r w:rsidRPr="00A63C1A">
        <w:t xml:space="preserve"> verzoeken om bijkomende stavingstukken.</w:t>
      </w:r>
      <w:r w:rsidRPr="00A63C1A">
        <w:rPr>
          <w:rFonts w:ascii="Arial" w:hAnsi="Arial" w:cs="Arial"/>
        </w:rPr>
        <w:t> </w:t>
      </w:r>
      <w:r w:rsidRPr="00A63C1A">
        <w:t> </w:t>
      </w:r>
      <w:r w:rsidR="00780BFE" w:rsidRPr="00A63C1A">
        <w:t xml:space="preserve">Respectievelijk de </w:t>
      </w:r>
      <w:r w:rsidR="0067574F" w:rsidRPr="00A63C1A">
        <w:t>subsidiegerechtigde (=Zorg-/Welzijnsvoorziening) als de opdrachtnemer (</w:t>
      </w:r>
      <w:r w:rsidR="00E743F9" w:rsidRPr="00A63C1A">
        <w:t xml:space="preserve">= de aannemers) dienen ter alle tijden deze </w:t>
      </w:r>
      <w:r w:rsidR="00082124" w:rsidRPr="00A63C1A">
        <w:t>staving</w:t>
      </w:r>
      <w:r w:rsidR="005B29B4">
        <w:t>s</w:t>
      </w:r>
      <w:r w:rsidR="00082124" w:rsidRPr="00A63C1A">
        <w:t>tukken</w:t>
      </w:r>
      <w:r w:rsidR="00E743F9" w:rsidRPr="00A63C1A">
        <w:t xml:space="preserve"> ter beschikking te k</w:t>
      </w:r>
      <w:r w:rsidR="00082124" w:rsidRPr="00A63C1A">
        <w:t>unnen stellen.</w:t>
      </w:r>
    </w:p>
    <w:p w14:paraId="7C51DF0C" w14:textId="37381B0F" w:rsidR="000E3500" w:rsidRPr="00A63C1A" w:rsidRDefault="00EA4C6D" w:rsidP="000E3500">
      <w:pPr>
        <w:jc w:val="both"/>
      </w:pPr>
      <w:r w:rsidRPr="00A63C1A">
        <w:t>In zoverre de verstrekte middelen worden aangewend voor de financiering van één of meerdere (</w:t>
      </w:r>
      <w:proofErr w:type="spellStart"/>
      <w:r w:rsidRPr="00A63C1A">
        <w:t>overheids</w:t>
      </w:r>
      <w:proofErr w:type="spellEnd"/>
      <w:r w:rsidRPr="00A63C1A">
        <w:t>)opdrachten (</w:t>
      </w:r>
      <w:r w:rsidR="00EE41BC" w:rsidRPr="00A63C1A">
        <w:t xml:space="preserve">uitvoering werken, </w:t>
      </w:r>
      <w:r w:rsidRPr="00A63C1A">
        <w:t>de aankoop, huur, leasing van materiaal), is de aanbesteder</w:t>
      </w:r>
      <w:r w:rsidR="00B61468" w:rsidRPr="00A63C1A">
        <w:t xml:space="preserve"> (=Zorg-/Welzijnsvoorziening)</w:t>
      </w:r>
      <w:r w:rsidRPr="00A63C1A">
        <w:t xml:space="preserve"> ertoe gehouden om </w:t>
      </w:r>
      <w:r w:rsidR="00420972">
        <w:t>deze m</w:t>
      </w:r>
      <w:r w:rsidRPr="00A63C1A">
        <w:t>odelclausule  op te nemen in de opdrachtdocumenten, behoudens het voorwerp van de opdracht van die aard is dat het redelijkerwijs geen negatieve impact kan hebben op de zes milieudoelstellingen.</w:t>
      </w:r>
      <w:r w:rsidR="000E3500" w:rsidRPr="00A63C1A">
        <w:t xml:space="preserve"> </w:t>
      </w:r>
      <w:r w:rsidR="00DA06ED" w:rsidRPr="00A63C1A">
        <w:t>H</w:t>
      </w:r>
      <w:r w:rsidR="000E3500" w:rsidRPr="00A63C1A">
        <w:t>et naleven van de DNSH-verplichting</w:t>
      </w:r>
      <w:r w:rsidR="00DA06ED" w:rsidRPr="00A63C1A">
        <w:t xml:space="preserve"> moet</w:t>
      </w:r>
      <w:r w:rsidR="000E3500" w:rsidRPr="00A63C1A">
        <w:t xml:space="preserve"> </w:t>
      </w:r>
      <w:r w:rsidR="000E3500" w:rsidRPr="00A63C1A">
        <w:rPr>
          <w:b/>
          <w:bCs/>
          <w:u w:val="single"/>
        </w:rPr>
        <w:t>contractueel bindend</w:t>
      </w:r>
      <w:r w:rsidR="000E3500" w:rsidRPr="00A63C1A">
        <w:t xml:space="preserve"> </w:t>
      </w:r>
      <w:r w:rsidR="00DA06ED" w:rsidRPr="00A63C1A">
        <w:t>gemaakt zijn voor</w:t>
      </w:r>
      <w:r w:rsidR="000E3500" w:rsidRPr="00A63C1A">
        <w:t xml:space="preserve"> de uitvoering van het project; </w:t>
      </w:r>
    </w:p>
    <w:p w14:paraId="6B334F71" w14:textId="0AB49F7E" w:rsidR="00FB52CC" w:rsidRPr="00A63C1A" w:rsidRDefault="00EA4C6D" w:rsidP="00690708">
      <w:pPr>
        <w:jc w:val="both"/>
        <w:rPr>
          <w:b/>
          <w:bCs/>
        </w:rPr>
      </w:pPr>
      <w:r w:rsidRPr="00A63C1A">
        <w:t xml:space="preserve">Daarnaast moet de </w:t>
      </w:r>
      <w:r w:rsidR="00B6560B" w:rsidRPr="00A63C1A">
        <w:t xml:space="preserve">aanbestedende </w:t>
      </w:r>
      <w:r w:rsidR="00B07D9C" w:rsidRPr="00A63C1A">
        <w:t xml:space="preserve">Zorg- of </w:t>
      </w:r>
      <w:r w:rsidR="00B6560B" w:rsidRPr="00A63C1A">
        <w:t>Welzijnsvoorziening</w:t>
      </w:r>
      <w:r w:rsidR="00B07D9C" w:rsidRPr="00A63C1A">
        <w:t xml:space="preserve"> en </w:t>
      </w:r>
      <w:r w:rsidR="00B6560B" w:rsidRPr="00A63C1A">
        <w:t>de contracterende aannemer</w:t>
      </w:r>
      <w:r w:rsidRPr="00A63C1A">
        <w:t xml:space="preserve"> een redelijke inspanning leveren om de opdracht in zo groot mogelijke mate te verduurzamen</w:t>
      </w:r>
      <w:r w:rsidR="00F36792">
        <w:t xml:space="preserve"> over de gehele levenscyclus (van ontginning tot ontmanteling)</w:t>
      </w:r>
      <w:r w:rsidRPr="00A63C1A">
        <w:t xml:space="preserve">. </w:t>
      </w:r>
      <w:r w:rsidR="00C276D0">
        <w:t xml:space="preserve">Dit kan door </w:t>
      </w:r>
      <w:r w:rsidR="00F104EE">
        <w:t>bij de aanbesteding in te zetten op “</w:t>
      </w:r>
      <w:hyperlink r:id="rId11" w:history="1">
        <w:r w:rsidR="00F104EE" w:rsidRPr="006E0660">
          <w:rPr>
            <w:rStyle w:val="Hyperlink"/>
          </w:rPr>
          <w:t xml:space="preserve">Green </w:t>
        </w:r>
        <w:proofErr w:type="spellStart"/>
        <w:r w:rsidR="00F104EE" w:rsidRPr="006E0660">
          <w:rPr>
            <w:rStyle w:val="Hyperlink"/>
          </w:rPr>
          <w:t>procurement</w:t>
        </w:r>
        <w:proofErr w:type="spellEnd"/>
      </w:hyperlink>
      <w:r w:rsidR="006E0660">
        <w:t>”</w:t>
      </w:r>
      <w:r w:rsidR="00F858D5">
        <w:t xml:space="preserve"> of  </w:t>
      </w:r>
      <w:hyperlink r:id="rId12" w:history="1">
        <w:r w:rsidR="00F858D5" w:rsidRPr="002456B2">
          <w:rPr>
            <w:rStyle w:val="Hyperlink"/>
          </w:rPr>
          <w:t>“</w:t>
        </w:r>
        <w:r w:rsidR="00E10445">
          <w:rPr>
            <w:rStyle w:val="Hyperlink"/>
          </w:rPr>
          <w:t>C</w:t>
        </w:r>
        <w:r w:rsidR="00F858D5" w:rsidRPr="002456B2">
          <w:rPr>
            <w:rStyle w:val="Hyperlink"/>
          </w:rPr>
          <w:t>irculaire aanbestedingen</w:t>
        </w:r>
        <w:r w:rsidR="002456B2" w:rsidRPr="002456B2">
          <w:rPr>
            <w:rStyle w:val="Hyperlink"/>
          </w:rPr>
          <w:t>”.</w:t>
        </w:r>
      </w:hyperlink>
      <w:r w:rsidR="004B568A">
        <w:t xml:space="preserve"> Binnen de DNSH-analyse zal door alle betrokken partijen </w:t>
      </w:r>
      <w:r w:rsidR="00E8229E">
        <w:t xml:space="preserve">hier de nodige duiding voor voorzien moeten worden. </w:t>
      </w:r>
      <w:r w:rsidR="001A390D">
        <w:t xml:space="preserve">Concreet </w:t>
      </w:r>
      <w:r w:rsidR="00225E03">
        <w:t xml:space="preserve">zal </w:t>
      </w:r>
      <w:r w:rsidR="001A390D">
        <w:t xml:space="preserve">onder de rubriek </w:t>
      </w:r>
      <w:r w:rsidR="003A41AD">
        <w:t>circulaire economie gemotiveerd moeten worden welke acties hiervoor ondernomen zijn.</w:t>
      </w:r>
    </w:p>
    <w:p w14:paraId="7404E972" w14:textId="7B7CB644" w:rsidR="00AB43D9" w:rsidRDefault="00AB43D9">
      <w:pPr>
        <w:rPr>
          <w:b/>
          <w:bCs/>
          <w:i/>
          <w:iCs/>
        </w:rPr>
      </w:pPr>
      <w:r>
        <w:rPr>
          <w:b/>
          <w:bCs/>
          <w:i/>
          <w:iCs/>
        </w:rPr>
        <w:br w:type="page"/>
      </w:r>
    </w:p>
    <w:p w14:paraId="7A6958A5" w14:textId="77777777" w:rsidR="00AB43D9" w:rsidRPr="00EA4C6D" w:rsidRDefault="00AB43D9" w:rsidP="00690708">
      <w:pPr>
        <w:jc w:val="both"/>
      </w:pPr>
    </w:p>
    <w:p w14:paraId="6C5BA12C" w14:textId="2A53990B" w:rsidR="00EA4C6D" w:rsidRDefault="00E26EFF" w:rsidP="008D2AD5">
      <w:pPr>
        <w:shd w:val="clear" w:color="auto" w:fill="C1E4F5" w:themeFill="accent1" w:themeFillTint="33"/>
        <w:jc w:val="center"/>
        <w:rPr>
          <w:b/>
          <w:bCs/>
          <w:u w:val="single"/>
        </w:rPr>
      </w:pPr>
      <w:r>
        <w:rPr>
          <w:b/>
          <w:bCs/>
          <w:u w:val="single"/>
        </w:rPr>
        <w:t>EXTRA INFORMATIE</w:t>
      </w:r>
      <w:r w:rsidR="00EA4C6D">
        <w:rPr>
          <w:b/>
          <w:bCs/>
          <w:u w:val="single"/>
        </w:rPr>
        <w:t>:</w:t>
      </w:r>
    </w:p>
    <w:p w14:paraId="642F480F" w14:textId="6D9DF86A" w:rsidR="00694CD1" w:rsidRDefault="006A3A52" w:rsidP="00E26EFF">
      <w:pPr>
        <w:jc w:val="both"/>
      </w:pPr>
      <w:r w:rsidRPr="006A3A52">
        <w:t xml:space="preserve">Voor </w:t>
      </w:r>
      <w:r w:rsidR="0042581E">
        <w:t>het gros van de</w:t>
      </w:r>
      <w:r w:rsidRPr="006A3A52">
        <w:t xml:space="preserve"> VIPA </w:t>
      </w:r>
      <w:proofErr w:type="spellStart"/>
      <w:r w:rsidRPr="006A3A52">
        <w:t>R</w:t>
      </w:r>
      <w:r w:rsidR="008E3ECC">
        <w:t>EP</w:t>
      </w:r>
      <w:r w:rsidRPr="006A3A52">
        <w:t>owerEU</w:t>
      </w:r>
      <w:proofErr w:type="spellEnd"/>
      <w:r w:rsidR="00A51A38">
        <w:t>-</w:t>
      </w:r>
      <w:r w:rsidRPr="006A3A52">
        <w:t>projecten is een vereenvoudigde analyse voldoende.</w:t>
      </w:r>
      <w:r w:rsidR="00FB455A">
        <w:rPr>
          <w:rStyle w:val="Voetnootmarkering"/>
        </w:rPr>
        <w:footnoteReference w:id="5"/>
      </w:r>
      <w:r w:rsidRPr="006A3A52">
        <w:t xml:space="preserve"> Als indiener dient u in het bijgevoegde sjabloon een </w:t>
      </w:r>
      <w:r w:rsidRPr="006A3A52">
        <w:rPr>
          <w:b/>
          <w:bCs/>
        </w:rPr>
        <w:t>beknopte motivatie</w:t>
      </w:r>
      <w:r w:rsidRPr="006A3A52">
        <w:t xml:space="preserve"> te voorzien dat er geen impact is en dat het project geen elementen bevat die opgenomen zijn in de exclusielijst.</w:t>
      </w:r>
      <w:r w:rsidR="00A51A38">
        <w:t xml:space="preserve"> </w:t>
      </w:r>
    </w:p>
    <w:p w14:paraId="4809D986" w14:textId="7665CEC3" w:rsidR="00E26EFF" w:rsidRDefault="008831F1" w:rsidP="00E26EFF">
      <w:pPr>
        <w:jc w:val="both"/>
      </w:pPr>
      <w:r>
        <w:t xml:space="preserve">Bij twijfel kan u </w:t>
      </w:r>
      <w:r w:rsidR="009A6D03">
        <w:t xml:space="preserve">dit voorleggen aan de subsidiërende overheid (VIPA). </w:t>
      </w:r>
      <w:r w:rsidR="00E26EFF" w:rsidRPr="00E26EFF">
        <w:t xml:space="preserve">Om te kunnen inschatten wat de DNSH-verplichting is, </w:t>
      </w:r>
      <w:r w:rsidR="00DA7DD3">
        <w:t>zal men terugvallen op</w:t>
      </w:r>
      <w:r w:rsidR="00E26EFF" w:rsidRPr="00E26EFF">
        <w:t xml:space="preserve"> de </w:t>
      </w:r>
      <w:hyperlink r:id="rId13" w:tgtFrame="_blank" w:history="1">
        <w:r w:rsidR="00E26EFF" w:rsidRPr="00E26EFF">
          <w:rPr>
            <w:rStyle w:val="Hyperlink"/>
            <w:u w:val="none"/>
          </w:rPr>
          <w:t>technische richtsnoeren</w:t>
        </w:r>
      </w:hyperlink>
      <w:r w:rsidR="00E26EFF" w:rsidRPr="00E26EFF">
        <w:t xml:space="preserve"> van de Commissie, in het bijzonder </w:t>
      </w:r>
      <w:r w:rsidR="00A17DEE">
        <w:t>bijlage I (</w:t>
      </w:r>
      <w:r w:rsidR="00FD17D0" w:rsidRPr="00FD17D0">
        <w:t>Checklist “Geen ernstige afbreuk doen aan”</w:t>
      </w:r>
      <w:r w:rsidR="00A17DEE">
        <w:t xml:space="preserve">), </w:t>
      </w:r>
      <w:r w:rsidR="00E26EFF" w:rsidRPr="00E26EFF">
        <w:t>bijlage II (elementen ter ondersteuning van de DNSH-analyse) en bijlage IV (fictieve voorbeelden van de manier om de DNSH-analyse uit te voeren). </w:t>
      </w:r>
    </w:p>
    <w:p w14:paraId="763C1D07" w14:textId="6037AD21" w:rsidR="003D6DDA" w:rsidRPr="00E26EFF" w:rsidRDefault="0046509D" w:rsidP="00E26EFF">
      <w:pPr>
        <w:jc w:val="both"/>
      </w:pPr>
      <w:r>
        <w:t xml:space="preserve">Binnen de VIPA-oproep zal elke </w:t>
      </w:r>
      <w:r w:rsidR="00EC7004">
        <w:t xml:space="preserve">aanbestedende voorziening de nodige DNSH-analyse moeten maken op het vlak van </w:t>
      </w:r>
      <w:r w:rsidR="007C66A4">
        <w:t>circulaire economie</w:t>
      </w:r>
      <w:r w:rsidR="00E10445">
        <w:t>.</w:t>
      </w:r>
      <w:r w:rsidR="004669AE">
        <w:t xml:space="preserve"> </w:t>
      </w:r>
      <w:r w:rsidR="00DB4A0A">
        <w:t xml:space="preserve">Bij sommige maatregelen zal het voldoende zijn om de </w:t>
      </w:r>
      <w:r w:rsidR="002D4EE9">
        <w:t xml:space="preserve">aandachtspunten die in het sjabloon als default zijn opgenomen te volgen, andere </w:t>
      </w:r>
      <w:r w:rsidR="00A80FA0">
        <w:t>maatregelen zullen vanuit de voorziening/aannemer extra duiding vragen.</w:t>
      </w:r>
      <w:r w:rsidR="00A80FA0">
        <w:tab/>
      </w:r>
      <w:r w:rsidR="00D02770">
        <w:br/>
        <w:t xml:space="preserve">Voor </w:t>
      </w:r>
      <w:r w:rsidR="00147813">
        <w:t>b</w:t>
      </w:r>
      <w:r w:rsidR="00D02770">
        <w:t xml:space="preserve">atterijen kan u </w:t>
      </w:r>
      <w:r w:rsidR="00147813">
        <w:t xml:space="preserve">in de aanbestedende </w:t>
      </w:r>
      <w:r w:rsidR="00717560">
        <w:t xml:space="preserve">opdracht </w:t>
      </w:r>
      <w:r w:rsidR="00D02770">
        <w:t xml:space="preserve">bijvoorbeeld terugvallen op de </w:t>
      </w:r>
      <w:hyperlink r:id="rId14" w:history="1">
        <w:r w:rsidR="00D02770" w:rsidRPr="00DE3C3B">
          <w:rPr>
            <w:rStyle w:val="Hyperlink"/>
          </w:rPr>
          <w:t>EU richtlijnen</w:t>
        </w:r>
      </w:hyperlink>
      <w:r w:rsidR="00D02770">
        <w:t xml:space="preserve"> van </w:t>
      </w:r>
      <w:r w:rsidR="003E2DBF">
        <w:t>duurzame en circulaire batterijen.</w:t>
      </w:r>
      <w:r w:rsidR="00717560">
        <w:t xml:space="preserve"> Waarbij </w:t>
      </w:r>
      <w:r w:rsidR="006524F2">
        <w:t>een percentage aan gerecycleerde grondstoffen uit “</w:t>
      </w:r>
      <w:proofErr w:type="spellStart"/>
      <w:r w:rsidR="006524F2">
        <w:t>urban</w:t>
      </w:r>
      <w:proofErr w:type="spellEnd"/>
      <w:r w:rsidR="006524F2">
        <w:t xml:space="preserve"> </w:t>
      </w:r>
      <w:proofErr w:type="spellStart"/>
      <w:r w:rsidR="006524F2">
        <w:t>mining</w:t>
      </w:r>
      <w:proofErr w:type="spellEnd"/>
      <w:r w:rsidR="006524F2">
        <w:t xml:space="preserve">” </w:t>
      </w:r>
      <w:r w:rsidR="002A4782">
        <w:t xml:space="preserve">voorzien is, en </w:t>
      </w:r>
      <w:r w:rsidR="00EC18F2">
        <w:t>geduid wordt wa</w:t>
      </w:r>
      <w:r w:rsidR="002A7139">
        <w:t xml:space="preserve">ar u met de batterij terecht kunt </w:t>
      </w:r>
      <w:r w:rsidR="00DE3C3B">
        <w:t>bij “end of life”.</w:t>
      </w:r>
      <w:r w:rsidR="00A810D4">
        <w:br/>
        <w:t xml:space="preserve">Voor </w:t>
      </w:r>
      <w:r w:rsidR="00222627">
        <w:t xml:space="preserve">zonnecollectoren </w:t>
      </w:r>
      <w:r w:rsidR="001C5152">
        <w:t xml:space="preserve">kan u in de aanbestedende opdracht bijvoorbeeld terugvallen op </w:t>
      </w:r>
      <w:r w:rsidR="00EB5473">
        <w:t xml:space="preserve">de federale fiche </w:t>
      </w:r>
      <w:hyperlink r:id="rId15" w:history="1">
        <w:r w:rsidR="00EB5473" w:rsidRPr="00EB5473">
          <w:rPr>
            <w:rStyle w:val="Hyperlink"/>
          </w:rPr>
          <w:t>Duurzaam aankopen van zonnecollectoren</w:t>
        </w:r>
      </w:hyperlink>
      <w:r w:rsidR="00EB5473">
        <w:t>.</w:t>
      </w:r>
    </w:p>
    <w:p w14:paraId="07E2BEE2" w14:textId="668675DD" w:rsidR="00BD1BEB" w:rsidRDefault="00BD1BEB"/>
    <w:sectPr w:rsidR="00BD1B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1C143" w14:textId="77777777" w:rsidR="00C307DE" w:rsidRDefault="00C307DE" w:rsidP="00221799">
      <w:pPr>
        <w:spacing w:after="0" w:line="240" w:lineRule="auto"/>
      </w:pPr>
      <w:r>
        <w:separator/>
      </w:r>
    </w:p>
  </w:endnote>
  <w:endnote w:type="continuationSeparator" w:id="0">
    <w:p w14:paraId="2B926C88" w14:textId="77777777" w:rsidR="00C307DE" w:rsidRDefault="00C307DE" w:rsidP="00221799">
      <w:pPr>
        <w:spacing w:after="0" w:line="240" w:lineRule="auto"/>
      </w:pPr>
      <w:r>
        <w:continuationSeparator/>
      </w:r>
    </w:p>
  </w:endnote>
  <w:endnote w:type="continuationNotice" w:id="1">
    <w:p w14:paraId="448FCC3F" w14:textId="77777777" w:rsidR="00C307DE" w:rsidRDefault="00C30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46363" w14:textId="77777777" w:rsidR="00C307DE" w:rsidRDefault="00C307DE" w:rsidP="00221799">
      <w:pPr>
        <w:spacing w:after="0" w:line="240" w:lineRule="auto"/>
      </w:pPr>
      <w:r>
        <w:separator/>
      </w:r>
    </w:p>
  </w:footnote>
  <w:footnote w:type="continuationSeparator" w:id="0">
    <w:p w14:paraId="6B40188A" w14:textId="77777777" w:rsidR="00C307DE" w:rsidRDefault="00C307DE" w:rsidP="00221799">
      <w:pPr>
        <w:spacing w:after="0" w:line="240" w:lineRule="auto"/>
      </w:pPr>
      <w:r>
        <w:continuationSeparator/>
      </w:r>
    </w:p>
  </w:footnote>
  <w:footnote w:type="continuationNotice" w:id="1">
    <w:p w14:paraId="6479F6DB" w14:textId="77777777" w:rsidR="00C307DE" w:rsidRDefault="00C307DE">
      <w:pPr>
        <w:spacing w:after="0" w:line="240" w:lineRule="auto"/>
      </w:pPr>
    </w:p>
  </w:footnote>
  <w:footnote w:id="2">
    <w:p w14:paraId="55F5ABA6" w14:textId="6F8D512C" w:rsidR="00B70DC3" w:rsidRDefault="00B70DC3">
      <w:pPr>
        <w:pStyle w:val="Voetnoottekst"/>
      </w:pPr>
      <w:r>
        <w:rPr>
          <w:rStyle w:val="Voetnootmarkering"/>
        </w:rPr>
        <w:footnoteRef/>
      </w:r>
      <w:r>
        <w:t xml:space="preserve"> In kader van de VIPA oproep, zal er voornamelijk de focus gelegd dienen te worden op punt 1 en 4 van deze exclusie lijst. Punt 2 en 3 zijn normaal niet van toepassing op de maatregelen die vallen onder het VIPA-project.</w:t>
      </w:r>
    </w:p>
  </w:footnote>
  <w:footnote w:id="3">
    <w:p w14:paraId="1DC875B2" w14:textId="50C7D540" w:rsidR="00EE0D45" w:rsidRDefault="00EE0D45">
      <w:pPr>
        <w:pStyle w:val="Voetnoottekst"/>
      </w:pPr>
      <w:r>
        <w:rPr>
          <w:rStyle w:val="Voetnootmarkering"/>
        </w:rPr>
        <w:footnoteRef/>
      </w:r>
      <w:r>
        <w:t xml:space="preserve"> </w:t>
      </w:r>
      <w:r w:rsidR="00C94E00">
        <w:t>Het in het bezit zijn van CO</w:t>
      </w:r>
      <w:r w:rsidR="00C94E00" w:rsidRPr="00427924">
        <w:rPr>
          <w:sz w:val="16"/>
          <w:szCs w:val="16"/>
        </w:rPr>
        <w:t>2</w:t>
      </w:r>
      <w:r w:rsidR="00C94E00">
        <w:t xml:space="preserve"> emissiehandel certificaten</w:t>
      </w:r>
      <w:r w:rsidR="00205828">
        <w:t xml:space="preserve"> door</w:t>
      </w:r>
      <w:r w:rsidR="00C94E00">
        <w:t xml:space="preserve"> </w:t>
      </w:r>
      <w:r w:rsidR="00205828">
        <w:t>a</w:t>
      </w:r>
      <w:r w:rsidR="006E19B1">
        <w:t>anne</w:t>
      </w:r>
      <w:r w:rsidR="003D5F5C">
        <w:t xml:space="preserve">mers die </w:t>
      </w:r>
      <w:r w:rsidR="00A37856">
        <w:t xml:space="preserve">niet voldoen aan het DNSH-beginsel </w:t>
      </w:r>
      <w:r w:rsidR="00205828">
        <w:t xml:space="preserve">wordt niet aanvaard als </w:t>
      </w:r>
      <w:r w:rsidR="002F455C">
        <w:t>inhoudelijke onderbouwing in de DNSH-analyse.</w:t>
      </w:r>
    </w:p>
  </w:footnote>
  <w:footnote w:id="4">
    <w:p w14:paraId="2CCCFDBC" w14:textId="4F4A3C73" w:rsidR="00221799" w:rsidRPr="00A466B6" w:rsidRDefault="00221799" w:rsidP="00FB455A">
      <w:pPr>
        <w:pStyle w:val="Voetnoottekst"/>
        <w:jc w:val="both"/>
        <w:rPr>
          <w:u w:val="single"/>
        </w:rPr>
      </w:pPr>
      <w:r w:rsidRPr="00FB455A">
        <w:rPr>
          <w:rStyle w:val="Voetnootmarkering"/>
        </w:rPr>
        <w:footnoteRef/>
      </w:r>
      <w:r w:rsidRPr="00FB455A">
        <w:t xml:space="preserve"> Voor de projecten waarbij een vereenvoudigde analyse niet voldoende is voor één of meerdere van de milieudoelstellingen</w:t>
      </w:r>
      <w:r w:rsidR="00954AB2">
        <w:t xml:space="preserve">, </w:t>
      </w:r>
      <w:r w:rsidRPr="00FB455A">
        <w:t xml:space="preserve">zal de </w:t>
      </w:r>
      <w:r w:rsidR="00AB43D9">
        <w:t>VIPA</w:t>
      </w:r>
      <w:r w:rsidRPr="00FB455A">
        <w:t xml:space="preserve"> er bij de selectie van de projecten op toezien dat een DNSH-analyse werd uitgevoerd voor elke milieudoelstelling waar dat nodig is en dat enkel projecten die aan alle zes criteria voldoen goedgekeurd worden. </w:t>
      </w:r>
      <w:r w:rsidR="00094395" w:rsidRPr="00FB455A">
        <w:t>In kader van deze subsidieoproep</w:t>
      </w:r>
      <w:r w:rsidR="00610D7A" w:rsidRPr="00FB455A">
        <w:t xml:space="preserve"> zal in haast alle gevallen de vereenvoudigde analyse volstaan, </w:t>
      </w:r>
      <w:r w:rsidR="009A0460">
        <w:t xml:space="preserve">aangezien </w:t>
      </w:r>
      <w:r w:rsidR="00DE5D8B">
        <w:t xml:space="preserve">binnen de VIPA-oproep </w:t>
      </w:r>
      <w:r w:rsidR="00B404F2">
        <w:t>enkel deze maatregelen</w:t>
      </w:r>
      <w:r w:rsidR="00AF795A">
        <w:t xml:space="preserve"> die positief evalueren op </w:t>
      </w:r>
      <w:r w:rsidR="007C2689">
        <w:t xml:space="preserve">5 van de 6 DNSH-voorwaarden weerhouden worden. </w:t>
      </w:r>
      <w:r w:rsidR="00C827AE">
        <w:t>De DNSH-voorwaarde</w:t>
      </w:r>
      <w:r w:rsidR="00F414EC">
        <w:t xml:space="preserve"> “Circulaire economie, met inbegrip van preventie en recycleren</w:t>
      </w:r>
      <w:r w:rsidR="0099549D">
        <w:t xml:space="preserve"> is afhankelijk</w:t>
      </w:r>
      <w:r w:rsidR="003C73C1">
        <w:t xml:space="preserve"> van de concrete uitvoering</w:t>
      </w:r>
      <w:r w:rsidR="0099549D">
        <w:t xml:space="preserve">. </w:t>
      </w:r>
      <w:r w:rsidR="00F57C86">
        <w:t xml:space="preserve">In de vereenvoudigde analyse toont </w:t>
      </w:r>
      <w:r w:rsidR="00924B81">
        <w:t xml:space="preserve">u </w:t>
      </w:r>
      <w:r w:rsidR="00B36ADE">
        <w:t>zelf als voorziening aan, dat u hier rekening mee houdt.</w:t>
      </w:r>
      <w:r w:rsidR="00C775AA">
        <w:t xml:space="preserve"> </w:t>
      </w:r>
      <w:r w:rsidR="00C775AA" w:rsidRPr="00A466B6">
        <w:rPr>
          <w:u w:val="single"/>
        </w:rPr>
        <w:t>Mocht u van mening zijn dat u niet voldoet aan deze 6 DNSH-voorwaarden, dient u dit te melden aan VIPA.</w:t>
      </w:r>
      <w:r w:rsidR="008E2A40">
        <w:rPr>
          <w:u w:val="single"/>
        </w:rPr>
        <w:t xml:space="preserve"> Indien na uitvoering blijkt dat u niet voldoet aan de DNSH-beginselen kunnen subsidies teruggevorderd worden.</w:t>
      </w:r>
    </w:p>
  </w:footnote>
  <w:footnote w:id="5">
    <w:p w14:paraId="4943BD6A" w14:textId="43C4DAEE" w:rsidR="00FB455A" w:rsidRDefault="00FB455A" w:rsidP="00FB455A">
      <w:pPr>
        <w:pStyle w:val="Voetnoottekst"/>
        <w:jc w:val="both"/>
      </w:pPr>
      <w:r w:rsidRPr="00FB455A">
        <w:rPr>
          <w:rStyle w:val="Voetnootmarkering"/>
        </w:rPr>
        <w:footnoteRef/>
      </w:r>
      <w:r w:rsidRPr="00FB455A">
        <w:t xml:space="preserve"> </w:t>
      </w:r>
      <w:r w:rsidR="00694CD1" w:rsidRPr="00FB455A">
        <w:t>Voor de projecten waarbij een vereenvoudigde analyse niet voldoende is voor één of meerdere van de milieudoelstellingen</w:t>
      </w:r>
      <w:r w:rsidR="00694CD1">
        <w:t xml:space="preserve">, </w:t>
      </w:r>
      <w:r w:rsidR="00694CD1" w:rsidRPr="00FB455A">
        <w:t xml:space="preserve">zal de </w:t>
      </w:r>
      <w:r w:rsidR="00694CD1">
        <w:t>VIPA</w:t>
      </w:r>
      <w:r w:rsidR="00694CD1" w:rsidRPr="00FB455A">
        <w:t xml:space="preserve"> er bij de selectie van de projecten op toezien dat een DNSH-analyse werd uitgevoerd voor elke milieudoelstelling waar dat nodig is en dat enkel projecten die aan alle zes criteria voldoen goedgekeurd worden. In kader van deze subsidieoproep zal in haast alle gevallen de vereenvoudigde analyse volstaan, </w:t>
      </w:r>
      <w:r w:rsidR="00694CD1">
        <w:t xml:space="preserve">aangezien binnen de VIPA-oproep enkel deze maatregelen die positief evalueren op 5 van de 6 DNSH-voorwaarden weerhouden worden. De DNSH-voorwaarde “Circulaire economie, met inbegrip van preventie en recycleren is </w:t>
      </w:r>
      <w:r w:rsidR="00993A5C">
        <w:t xml:space="preserve">afhankelijk van de concrete </w:t>
      </w:r>
      <w:r w:rsidR="00694CD1">
        <w:t xml:space="preserve">uitvoering. In de vereenvoudigde analyse toont u zelf als voorziening aan, dat u hier rekening mee houdt. </w:t>
      </w:r>
      <w:r w:rsidR="00694CD1" w:rsidRPr="00A466B6">
        <w:rPr>
          <w:u w:val="single"/>
        </w:rPr>
        <w:t>Mocht u van mening zijn dat u niet voldoet aan deze 6 DNSH-voorwaarden, dient u dit te melden aan VIPA.</w:t>
      </w:r>
      <w:r w:rsidR="00694CD1">
        <w:rPr>
          <w:u w:val="single"/>
        </w:rPr>
        <w:t xml:space="preserve"> Indien na uitvoering blijkt dat u niet voldoet aan de DNSH-beginselen kunnen subsidies teruggevorderd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879FD"/>
    <w:multiLevelType w:val="multilevel"/>
    <w:tmpl w:val="6D4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6173F9"/>
    <w:multiLevelType w:val="hybridMultilevel"/>
    <w:tmpl w:val="BB24C430"/>
    <w:lvl w:ilvl="0" w:tplc="ECF04A72">
      <w:start w:val="1"/>
      <w:numFmt w:val="bullet"/>
      <w:lvlText w:val=""/>
      <w:lvlJc w:val="left"/>
      <w:pPr>
        <w:ind w:left="1080" w:hanging="360"/>
      </w:pPr>
      <w:rPr>
        <w:rFonts w:ascii="Symbol" w:hAnsi="Symbol"/>
      </w:rPr>
    </w:lvl>
    <w:lvl w:ilvl="1" w:tplc="7318FB16">
      <w:start w:val="1"/>
      <w:numFmt w:val="bullet"/>
      <w:lvlText w:val=""/>
      <w:lvlJc w:val="left"/>
      <w:pPr>
        <w:ind w:left="1080" w:hanging="360"/>
      </w:pPr>
      <w:rPr>
        <w:rFonts w:ascii="Symbol" w:hAnsi="Symbol"/>
      </w:rPr>
    </w:lvl>
    <w:lvl w:ilvl="2" w:tplc="4096364C">
      <w:start w:val="1"/>
      <w:numFmt w:val="bullet"/>
      <w:lvlText w:val=""/>
      <w:lvlJc w:val="left"/>
      <w:pPr>
        <w:ind w:left="1080" w:hanging="360"/>
      </w:pPr>
      <w:rPr>
        <w:rFonts w:ascii="Symbol" w:hAnsi="Symbol"/>
      </w:rPr>
    </w:lvl>
    <w:lvl w:ilvl="3" w:tplc="6C94CD62">
      <w:start w:val="1"/>
      <w:numFmt w:val="bullet"/>
      <w:lvlText w:val=""/>
      <w:lvlJc w:val="left"/>
      <w:pPr>
        <w:ind w:left="1080" w:hanging="360"/>
      </w:pPr>
      <w:rPr>
        <w:rFonts w:ascii="Symbol" w:hAnsi="Symbol"/>
      </w:rPr>
    </w:lvl>
    <w:lvl w:ilvl="4" w:tplc="A406E280">
      <w:start w:val="1"/>
      <w:numFmt w:val="bullet"/>
      <w:lvlText w:val=""/>
      <w:lvlJc w:val="left"/>
      <w:pPr>
        <w:ind w:left="1080" w:hanging="360"/>
      </w:pPr>
      <w:rPr>
        <w:rFonts w:ascii="Symbol" w:hAnsi="Symbol"/>
      </w:rPr>
    </w:lvl>
    <w:lvl w:ilvl="5" w:tplc="F978FEFC">
      <w:start w:val="1"/>
      <w:numFmt w:val="bullet"/>
      <w:lvlText w:val=""/>
      <w:lvlJc w:val="left"/>
      <w:pPr>
        <w:ind w:left="1080" w:hanging="360"/>
      </w:pPr>
      <w:rPr>
        <w:rFonts w:ascii="Symbol" w:hAnsi="Symbol"/>
      </w:rPr>
    </w:lvl>
    <w:lvl w:ilvl="6" w:tplc="B48E2F2E">
      <w:start w:val="1"/>
      <w:numFmt w:val="bullet"/>
      <w:lvlText w:val=""/>
      <w:lvlJc w:val="left"/>
      <w:pPr>
        <w:ind w:left="1080" w:hanging="360"/>
      </w:pPr>
      <w:rPr>
        <w:rFonts w:ascii="Symbol" w:hAnsi="Symbol"/>
      </w:rPr>
    </w:lvl>
    <w:lvl w:ilvl="7" w:tplc="805A87D6">
      <w:start w:val="1"/>
      <w:numFmt w:val="bullet"/>
      <w:lvlText w:val=""/>
      <w:lvlJc w:val="left"/>
      <w:pPr>
        <w:ind w:left="1080" w:hanging="360"/>
      </w:pPr>
      <w:rPr>
        <w:rFonts w:ascii="Symbol" w:hAnsi="Symbol"/>
      </w:rPr>
    </w:lvl>
    <w:lvl w:ilvl="8" w:tplc="87568228">
      <w:start w:val="1"/>
      <w:numFmt w:val="bullet"/>
      <w:lvlText w:val=""/>
      <w:lvlJc w:val="left"/>
      <w:pPr>
        <w:ind w:left="1080" w:hanging="360"/>
      </w:pPr>
      <w:rPr>
        <w:rFonts w:ascii="Symbol" w:hAnsi="Symbol"/>
      </w:rPr>
    </w:lvl>
  </w:abstractNum>
  <w:abstractNum w:abstractNumId="2" w15:restartNumberingAfterBreak="0">
    <w:nsid w:val="69A24308"/>
    <w:multiLevelType w:val="multilevel"/>
    <w:tmpl w:val="B7D8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04428"/>
    <w:multiLevelType w:val="multilevel"/>
    <w:tmpl w:val="CE2C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444AFF"/>
    <w:multiLevelType w:val="multilevel"/>
    <w:tmpl w:val="DD18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BC0443"/>
    <w:multiLevelType w:val="multilevel"/>
    <w:tmpl w:val="7404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200464">
    <w:abstractNumId w:val="5"/>
  </w:num>
  <w:num w:numId="2" w16cid:durableId="1325930758">
    <w:abstractNumId w:val="3"/>
  </w:num>
  <w:num w:numId="3" w16cid:durableId="1516459193">
    <w:abstractNumId w:val="0"/>
  </w:num>
  <w:num w:numId="4" w16cid:durableId="138155375">
    <w:abstractNumId w:val="4"/>
  </w:num>
  <w:num w:numId="5" w16cid:durableId="1131704307">
    <w:abstractNumId w:val="2"/>
  </w:num>
  <w:num w:numId="6" w16cid:durableId="183857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6D"/>
    <w:rsid w:val="000262CE"/>
    <w:rsid w:val="00043277"/>
    <w:rsid w:val="000476A2"/>
    <w:rsid w:val="00076ED8"/>
    <w:rsid w:val="00082124"/>
    <w:rsid w:val="00082AD9"/>
    <w:rsid w:val="00091133"/>
    <w:rsid w:val="00092C2B"/>
    <w:rsid w:val="00094395"/>
    <w:rsid w:val="00096710"/>
    <w:rsid w:val="000A107E"/>
    <w:rsid w:val="000C6857"/>
    <w:rsid w:val="000E3500"/>
    <w:rsid w:val="000E4E92"/>
    <w:rsid w:val="000F00AB"/>
    <w:rsid w:val="000F5039"/>
    <w:rsid w:val="001023D7"/>
    <w:rsid w:val="0010598A"/>
    <w:rsid w:val="00117C3A"/>
    <w:rsid w:val="00147813"/>
    <w:rsid w:val="00153105"/>
    <w:rsid w:val="00155E05"/>
    <w:rsid w:val="001708E3"/>
    <w:rsid w:val="001734C4"/>
    <w:rsid w:val="00192FE6"/>
    <w:rsid w:val="001A390D"/>
    <w:rsid w:val="001A53A7"/>
    <w:rsid w:val="001B5964"/>
    <w:rsid w:val="001B7082"/>
    <w:rsid w:val="001C2553"/>
    <w:rsid w:val="001C5152"/>
    <w:rsid w:val="001D1FA8"/>
    <w:rsid w:val="001E5C23"/>
    <w:rsid w:val="001F4337"/>
    <w:rsid w:val="00205828"/>
    <w:rsid w:val="00211383"/>
    <w:rsid w:val="00221799"/>
    <w:rsid w:val="00222627"/>
    <w:rsid w:val="00225E03"/>
    <w:rsid w:val="002456B2"/>
    <w:rsid w:val="0024690E"/>
    <w:rsid w:val="0025702B"/>
    <w:rsid w:val="002700A1"/>
    <w:rsid w:val="002A4782"/>
    <w:rsid w:val="002A7139"/>
    <w:rsid w:val="002D4EE9"/>
    <w:rsid w:val="002E3D37"/>
    <w:rsid w:val="002F455C"/>
    <w:rsid w:val="00306219"/>
    <w:rsid w:val="003122A5"/>
    <w:rsid w:val="003402CD"/>
    <w:rsid w:val="003436BE"/>
    <w:rsid w:val="00346947"/>
    <w:rsid w:val="00377D74"/>
    <w:rsid w:val="00393C4A"/>
    <w:rsid w:val="003A41AD"/>
    <w:rsid w:val="003C73C1"/>
    <w:rsid w:val="003D5F5C"/>
    <w:rsid w:val="003D6DDA"/>
    <w:rsid w:val="003E2100"/>
    <w:rsid w:val="003E2606"/>
    <w:rsid w:val="003E2DBF"/>
    <w:rsid w:val="003F437A"/>
    <w:rsid w:val="00411491"/>
    <w:rsid w:val="00411577"/>
    <w:rsid w:val="00412F8C"/>
    <w:rsid w:val="00420972"/>
    <w:rsid w:val="0042581E"/>
    <w:rsid w:val="00427924"/>
    <w:rsid w:val="00431209"/>
    <w:rsid w:val="0043144F"/>
    <w:rsid w:val="00434C8E"/>
    <w:rsid w:val="004576AE"/>
    <w:rsid w:val="00460307"/>
    <w:rsid w:val="0046509D"/>
    <w:rsid w:val="00466192"/>
    <w:rsid w:val="004669AE"/>
    <w:rsid w:val="00471E8C"/>
    <w:rsid w:val="004851B9"/>
    <w:rsid w:val="004908C5"/>
    <w:rsid w:val="004B568A"/>
    <w:rsid w:val="004C01FD"/>
    <w:rsid w:val="004F0F13"/>
    <w:rsid w:val="005154F2"/>
    <w:rsid w:val="00520C36"/>
    <w:rsid w:val="00534210"/>
    <w:rsid w:val="00554937"/>
    <w:rsid w:val="00557787"/>
    <w:rsid w:val="00575BAA"/>
    <w:rsid w:val="005807D2"/>
    <w:rsid w:val="0059693F"/>
    <w:rsid w:val="005A1A70"/>
    <w:rsid w:val="005B29B4"/>
    <w:rsid w:val="005B5B87"/>
    <w:rsid w:val="005B61F9"/>
    <w:rsid w:val="005D213C"/>
    <w:rsid w:val="005D5063"/>
    <w:rsid w:val="005F3AEB"/>
    <w:rsid w:val="00606809"/>
    <w:rsid w:val="00610D7A"/>
    <w:rsid w:val="00627303"/>
    <w:rsid w:val="00635329"/>
    <w:rsid w:val="0063585B"/>
    <w:rsid w:val="006524F2"/>
    <w:rsid w:val="006651A4"/>
    <w:rsid w:val="0067574F"/>
    <w:rsid w:val="00687A08"/>
    <w:rsid w:val="00690708"/>
    <w:rsid w:val="00694CD1"/>
    <w:rsid w:val="006A3A52"/>
    <w:rsid w:val="006A753C"/>
    <w:rsid w:val="006E0660"/>
    <w:rsid w:val="006E19B1"/>
    <w:rsid w:val="006E3F35"/>
    <w:rsid w:val="00701C3C"/>
    <w:rsid w:val="00706541"/>
    <w:rsid w:val="00715160"/>
    <w:rsid w:val="00717560"/>
    <w:rsid w:val="00734152"/>
    <w:rsid w:val="007440C8"/>
    <w:rsid w:val="00770A92"/>
    <w:rsid w:val="007723BC"/>
    <w:rsid w:val="00773BB1"/>
    <w:rsid w:val="00780BFE"/>
    <w:rsid w:val="0079638D"/>
    <w:rsid w:val="0079643C"/>
    <w:rsid w:val="007A1CF8"/>
    <w:rsid w:val="007B6715"/>
    <w:rsid w:val="007C2689"/>
    <w:rsid w:val="007C66A4"/>
    <w:rsid w:val="007D753F"/>
    <w:rsid w:val="007E7E44"/>
    <w:rsid w:val="00815091"/>
    <w:rsid w:val="008278A4"/>
    <w:rsid w:val="00837364"/>
    <w:rsid w:val="00871403"/>
    <w:rsid w:val="008831F1"/>
    <w:rsid w:val="008857C1"/>
    <w:rsid w:val="00887CDC"/>
    <w:rsid w:val="00896015"/>
    <w:rsid w:val="00896AE5"/>
    <w:rsid w:val="008A172C"/>
    <w:rsid w:val="008B5272"/>
    <w:rsid w:val="008D2AD5"/>
    <w:rsid w:val="008E1343"/>
    <w:rsid w:val="008E23A5"/>
    <w:rsid w:val="008E2A40"/>
    <w:rsid w:val="008E3ECC"/>
    <w:rsid w:val="00924B81"/>
    <w:rsid w:val="00927FF0"/>
    <w:rsid w:val="00933A70"/>
    <w:rsid w:val="00937863"/>
    <w:rsid w:val="00941EE3"/>
    <w:rsid w:val="009500EA"/>
    <w:rsid w:val="0095188D"/>
    <w:rsid w:val="00951AB5"/>
    <w:rsid w:val="00954AB2"/>
    <w:rsid w:val="00963D9B"/>
    <w:rsid w:val="00980634"/>
    <w:rsid w:val="0098633F"/>
    <w:rsid w:val="00993A5C"/>
    <w:rsid w:val="0099549D"/>
    <w:rsid w:val="009A0460"/>
    <w:rsid w:val="009A6D03"/>
    <w:rsid w:val="009C3AED"/>
    <w:rsid w:val="009C530F"/>
    <w:rsid w:val="009E6A01"/>
    <w:rsid w:val="00A17DEE"/>
    <w:rsid w:val="00A2261A"/>
    <w:rsid w:val="00A37856"/>
    <w:rsid w:val="00A4165B"/>
    <w:rsid w:val="00A466B6"/>
    <w:rsid w:val="00A47CDD"/>
    <w:rsid w:val="00A51A38"/>
    <w:rsid w:val="00A63C1A"/>
    <w:rsid w:val="00A80BB5"/>
    <w:rsid w:val="00A80FA0"/>
    <w:rsid w:val="00A810D4"/>
    <w:rsid w:val="00AA414E"/>
    <w:rsid w:val="00AA566B"/>
    <w:rsid w:val="00AA5DA7"/>
    <w:rsid w:val="00AB43D9"/>
    <w:rsid w:val="00AC21A0"/>
    <w:rsid w:val="00AD1936"/>
    <w:rsid w:val="00AF3A7D"/>
    <w:rsid w:val="00AF795A"/>
    <w:rsid w:val="00B07D9C"/>
    <w:rsid w:val="00B2450B"/>
    <w:rsid w:val="00B31D5A"/>
    <w:rsid w:val="00B34290"/>
    <w:rsid w:val="00B34BCF"/>
    <w:rsid w:val="00B36ADE"/>
    <w:rsid w:val="00B404F2"/>
    <w:rsid w:val="00B61468"/>
    <w:rsid w:val="00B6560B"/>
    <w:rsid w:val="00B70DC3"/>
    <w:rsid w:val="00B87F7A"/>
    <w:rsid w:val="00B925ED"/>
    <w:rsid w:val="00BB5938"/>
    <w:rsid w:val="00BC7C77"/>
    <w:rsid w:val="00BD084D"/>
    <w:rsid w:val="00BD1BEB"/>
    <w:rsid w:val="00BE1396"/>
    <w:rsid w:val="00BE456C"/>
    <w:rsid w:val="00BE56DE"/>
    <w:rsid w:val="00BE6E77"/>
    <w:rsid w:val="00C037EF"/>
    <w:rsid w:val="00C15058"/>
    <w:rsid w:val="00C276D0"/>
    <w:rsid w:val="00C307DE"/>
    <w:rsid w:val="00C775AA"/>
    <w:rsid w:val="00C827AE"/>
    <w:rsid w:val="00C831FE"/>
    <w:rsid w:val="00C92448"/>
    <w:rsid w:val="00C94E00"/>
    <w:rsid w:val="00CA5899"/>
    <w:rsid w:val="00CB4877"/>
    <w:rsid w:val="00CC62DB"/>
    <w:rsid w:val="00CD3970"/>
    <w:rsid w:val="00CE79F0"/>
    <w:rsid w:val="00CF259D"/>
    <w:rsid w:val="00D02770"/>
    <w:rsid w:val="00D07863"/>
    <w:rsid w:val="00D468AA"/>
    <w:rsid w:val="00D46C39"/>
    <w:rsid w:val="00D67604"/>
    <w:rsid w:val="00D8512C"/>
    <w:rsid w:val="00DA06ED"/>
    <w:rsid w:val="00DA30A8"/>
    <w:rsid w:val="00DA42C1"/>
    <w:rsid w:val="00DA7DD3"/>
    <w:rsid w:val="00DB4A0A"/>
    <w:rsid w:val="00DB58AA"/>
    <w:rsid w:val="00DD493F"/>
    <w:rsid w:val="00DE1026"/>
    <w:rsid w:val="00DE3C3B"/>
    <w:rsid w:val="00DE5D8B"/>
    <w:rsid w:val="00DF62E3"/>
    <w:rsid w:val="00E068AB"/>
    <w:rsid w:val="00E10445"/>
    <w:rsid w:val="00E13EF4"/>
    <w:rsid w:val="00E26EFF"/>
    <w:rsid w:val="00E55E96"/>
    <w:rsid w:val="00E61055"/>
    <w:rsid w:val="00E743F9"/>
    <w:rsid w:val="00E8229E"/>
    <w:rsid w:val="00E826FE"/>
    <w:rsid w:val="00E855F6"/>
    <w:rsid w:val="00EA40A4"/>
    <w:rsid w:val="00EA4C6D"/>
    <w:rsid w:val="00EB5473"/>
    <w:rsid w:val="00EC18F2"/>
    <w:rsid w:val="00EC5A36"/>
    <w:rsid w:val="00EC6B41"/>
    <w:rsid w:val="00EC7004"/>
    <w:rsid w:val="00EE0D45"/>
    <w:rsid w:val="00EE41BC"/>
    <w:rsid w:val="00F0262D"/>
    <w:rsid w:val="00F104EE"/>
    <w:rsid w:val="00F15F87"/>
    <w:rsid w:val="00F36792"/>
    <w:rsid w:val="00F414EC"/>
    <w:rsid w:val="00F57C86"/>
    <w:rsid w:val="00F618D6"/>
    <w:rsid w:val="00F80616"/>
    <w:rsid w:val="00F832EF"/>
    <w:rsid w:val="00F858D5"/>
    <w:rsid w:val="00FA09BA"/>
    <w:rsid w:val="00FA7E4B"/>
    <w:rsid w:val="00FB455A"/>
    <w:rsid w:val="00FB52CC"/>
    <w:rsid w:val="00FD17D0"/>
    <w:rsid w:val="00FE0595"/>
    <w:rsid w:val="00FE34AB"/>
    <w:rsid w:val="14FFC768"/>
    <w:rsid w:val="7631F7B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1020"/>
  <w15:chartTrackingRefBased/>
  <w15:docId w15:val="{68D8E072-58C4-4A24-9D07-30CA24DD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4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4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4C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4C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4C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4C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4C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4C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4C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4C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4C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4C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4C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4C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4C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4C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4C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4C6D"/>
    <w:rPr>
      <w:rFonts w:eastAsiaTheme="majorEastAsia" w:cstheme="majorBidi"/>
      <w:color w:val="272727" w:themeColor="text1" w:themeTint="D8"/>
    </w:rPr>
  </w:style>
  <w:style w:type="paragraph" w:styleId="Titel">
    <w:name w:val="Title"/>
    <w:basedOn w:val="Standaard"/>
    <w:next w:val="Standaard"/>
    <w:link w:val="TitelChar"/>
    <w:uiPriority w:val="10"/>
    <w:qFormat/>
    <w:rsid w:val="00EA4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C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4C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C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4C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4C6D"/>
    <w:rPr>
      <w:i/>
      <w:iCs/>
      <w:color w:val="404040" w:themeColor="text1" w:themeTint="BF"/>
    </w:rPr>
  </w:style>
  <w:style w:type="paragraph" w:styleId="Lijstalinea">
    <w:name w:val="List Paragraph"/>
    <w:basedOn w:val="Standaard"/>
    <w:uiPriority w:val="34"/>
    <w:qFormat/>
    <w:rsid w:val="00EA4C6D"/>
    <w:pPr>
      <w:ind w:left="720"/>
      <w:contextualSpacing/>
    </w:pPr>
  </w:style>
  <w:style w:type="character" w:styleId="Intensievebenadrukking">
    <w:name w:val="Intense Emphasis"/>
    <w:basedOn w:val="Standaardalinea-lettertype"/>
    <w:uiPriority w:val="21"/>
    <w:qFormat/>
    <w:rsid w:val="00EA4C6D"/>
    <w:rPr>
      <w:i/>
      <w:iCs/>
      <w:color w:val="0F4761" w:themeColor="accent1" w:themeShade="BF"/>
    </w:rPr>
  </w:style>
  <w:style w:type="paragraph" w:styleId="Duidelijkcitaat">
    <w:name w:val="Intense Quote"/>
    <w:basedOn w:val="Standaard"/>
    <w:next w:val="Standaard"/>
    <w:link w:val="DuidelijkcitaatChar"/>
    <w:uiPriority w:val="30"/>
    <w:qFormat/>
    <w:rsid w:val="00EA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4C6D"/>
    <w:rPr>
      <w:i/>
      <w:iCs/>
      <w:color w:val="0F4761" w:themeColor="accent1" w:themeShade="BF"/>
    </w:rPr>
  </w:style>
  <w:style w:type="character" w:styleId="Intensieveverwijzing">
    <w:name w:val="Intense Reference"/>
    <w:basedOn w:val="Standaardalinea-lettertype"/>
    <w:uiPriority w:val="32"/>
    <w:qFormat/>
    <w:rsid w:val="00EA4C6D"/>
    <w:rPr>
      <w:b/>
      <w:bCs/>
      <w:smallCaps/>
      <w:color w:val="0F4761" w:themeColor="accent1" w:themeShade="BF"/>
      <w:spacing w:val="5"/>
    </w:rPr>
  </w:style>
  <w:style w:type="character" w:styleId="Hyperlink">
    <w:name w:val="Hyperlink"/>
    <w:basedOn w:val="Standaardalinea-lettertype"/>
    <w:uiPriority w:val="99"/>
    <w:unhideWhenUsed/>
    <w:rsid w:val="00EA4C6D"/>
    <w:rPr>
      <w:color w:val="467886" w:themeColor="hyperlink"/>
      <w:u w:val="single"/>
    </w:rPr>
  </w:style>
  <w:style w:type="character" w:styleId="Onopgelostemelding">
    <w:name w:val="Unresolved Mention"/>
    <w:basedOn w:val="Standaardalinea-lettertype"/>
    <w:uiPriority w:val="99"/>
    <w:semiHidden/>
    <w:unhideWhenUsed/>
    <w:rsid w:val="00EA4C6D"/>
    <w:rPr>
      <w:color w:val="605E5C"/>
      <w:shd w:val="clear" w:color="auto" w:fill="E1DFDD"/>
    </w:rPr>
  </w:style>
  <w:style w:type="character" w:styleId="GevolgdeHyperlink">
    <w:name w:val="FollowedHyperlink"/>
    <w:basedOn w:val="Standaardalinea-lettertype"/>
    <w:uiPriority w:val="99"/>
    <w:semiHidden/>
    <w:unhideWhenUsed/>
    <w:rsid w:val="001E5C23"/>
    <w:rPr>
      <w:color w:val="96607D" w:themeColor="followedHyperlink"/>
      <w:u w:val="single"/>
    </w:rPr>
  </w:style>
  <w:style w:type="character" w:styleId="Verwijzingopmerking">
    <w:name w:val="annotation reference"/>
    <w:basedOn w:val="Standaardalinea-lettertype"/>
    <w:uiPriority w:val="99"/>
    <w:semiHidden/>
    <w:unhideWhenUsed/>
    <w:rsid w:val="00B31D5A"/>
    <w:rPr>
      <w:sz w:val="16"/>
      <w:szCs w:val="16"/>
    </w:rPr>
  </w:style>
  <w:style w:type="paragraph" w:styleId="Tekstopmerking">
    <w:name w:val="annotation text"/>
    <w:basedOn w:val="Standaard"/>
    <w:link w:val="TekstopmerkingChar"/>
    <w:uiPriority w:val="99"/>
    <w:unhideWhenUsed/>
    <w:rsid w:val="00B31D5A"/>
    <w:pPr>
      <w:spacing w:line="240" w:lineRule="auto"/>
    </w:pPr>
    <w:rPr>
      <w:sz w:val="20"/>
      <w:szCs w:val="20"/>
    </w:rPr>
  </w:style>
  <w:style w:type="character" w:customStyle="1" w:styleId="TekstopmerkingChar">
    <w:name w:val="Tekst opmerking Char"/>
    <w:basedOn w:val="Standaardalinea-lettertype"/>
    <w:link w:val="Tekstopmerking"/>
    <w:uiPriority w:val="99"/>
    <w:rsid w:val="00B31D5A"/>
    <w:rPr>
      <w:sz w:val="20"/>
      <w:szCs w:val="20"/>
    </w:rPr>
  </w:style>
  <w:style w:type="paragraph" w:styleId="Onderwerpvanopmerking">
    <w:name w:val="annotation subject"/>
    <w:basedOn w:val="Tekstopmerking"/>
    <w:next w:val="Tekstopmerking"/>
    <w:link w:val="OnderwerpvanopmerkingChar"/>
    <w:uiPriority w:val="99"/>
    <w:semiHidden/>
    <w:unhideWhenUsed/>
    <w:rsid w:val="00B31D5A"/>
    <w:rPr>
      <w:b/>
      <w:bCs/>
    </w:rPr>
  </w:style>
  <w:style w:type="character" w:customStyle="1" w:styleId="OnderwerpvanopmerkingChar">
    <w:name w:val="Onderwerp van opmerking Char"/>
    <w:basedOn w:val="TekstopmerkingChar"/>
    <w:link w:val="Onderwerpvanopmerking"/>
    <w:uiPriority w:val="99"/>
    <w:semiHidden/>
    <w:rsid w:val="00B31D5A"/>
    <w:rPr>
      <w:b/>
      <w:bCs/>
      <w:sz w:val="20"/>
      <w:szCs w:val="20"/>
    </w:rPr>
  </w:style>
  <w:style w:type="paragraph" w:styleId="Voetnoottekst">
    <w:name w:val="footnote text"/>
    <w:basedOn w:val="Standaard"/>
    <w:link w:val="VoetnoottekstChar"/>
    <w:uiPriority w:val="99"/>
    <w:semiHidden/>
    <w:unhideWhenUsed/>
    <w:rsid w:val="002217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21799"/>
    <w:rPr>
      <w:sz w:val="20"/>
      <w:szCs w:val="20"/>
    </w:rPr>
  </w:style>
  <w:style w:type="character" w:styleId="Voetnootmarkering">
    <w:name w:val="footnote reference"/>
    <w:basedOn w:val="Standaardalinea-lettertype"/>
    <w:uiPriority w:val="99"/>
    <w:semiHidden/>
    <w:unhideWhenUsed/>
    <w:rsid w:val="00221799"/>
    <w:rPr>
      <w:vertAlign w:val="superscript"/>
    </w:rPr>
  </w:style>
  <w:style w:type="paragraph" w:styleId="Koptekst">
    <w:name w:val="header"/>
    <w:basedOn w:val="Standaard"/>
    <w:link w:val="KoptekstChar"/>
    <w:uiPriority w:val="99"/>
    <w:semiHidden/>
    <w:unhideWhenUsed/>
    <w:rsid w:val="003122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122A5"/>
  </w:style>
  <w:style w:type="paragraph" w:styleId="Voettekst">
    <w:name w:val="footer"/>
    <w:basedOn w:val="Standaard"/>
    <w:link w:val="VoettekstChar"/>
    <w:uiPriority w:val="99"/>
    <w:semiHidden/>
    <w:unhideWhenUsed/>
    <w:rsid w:val="003122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122A5"/>
  </w:style>
  <w:style w:type="character" w:styleId="Vermelding">
    <w:name w:val="Mention"/>
    <w:basedOn w:val="Standaardalinea-lettertype"/>
    <w:uiPriority w:val="99"/>
    <w:unhideWhenUsed/>
    <w:rsid w:val="007D75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7861">
      <w:bodyDiv w:val="1"/>
      <w:marLeft w:val="0"/>
      <w:marRight w:val="0"/>
      <w:marTop w:val="0"/>
      <w:marBottom w:val="0"/>
      <w:divBdr>
        <w:top w:val="none" w:sz="0" w:space="0" w:color="auto"/>
        <w:left w:val="none" w:sz="0" w:space="0" w:color="auto"/>
        <w:bottom w:val="none" w:sz="0" w:space="0" w:color="auto"/>
        <w:right w:val="none" w:sz="0" w:space="0" w:color="auto"/>
      </w:divBdr>
      <w:divsChild>
        <w:div w:id="50810426">
          <w:marLeft w:val="0"/>
          <w:marRight w:val="0"/>
          <w:marTop w:val="0"/>
          <w:marBottom w:val="0"/>
          <w:divBdr>
            <w:top w:val="none" w:sz="0" w:space="0" w:color="auto"/>
            <w:left w:val="none" w:sz="0" w:space="0" w:color="auto"/>
            <w:bottom w:val="none" w:sz="0" w:space="0" w:color="auto"/>
            <w:right w:val="none" w:sz="0" w:space="0" w:color="auto"/>
          </w:divBdr>
        </w:div>
        <w:div w:id="258298410">
          <w:marLeft w:val="0"/>
          <w:marRight w:val="0"/>
          <w:marTop w:val="0"/>
          <w:marBottom w:val="0"/>
          <w:divBdr>
            <w:top w:val="none" w:sz="0" w:space="0" w:color="auto"/>
            <w:left w:val="none" w:sz="0" w:space="0" w:color="auto"/>
            <w:bottom w:val="none" w:sz="0" w:space="0" w:color="auto"/>
            <w:right w:val="none" w:sz="0" w:space="0" w:color="auto"/>
          </w:divBdr>
        </w:div>
        <w:div w:id="428432902">
          <w:marLeft w:val="0"/>
          <w:marRight w:val="0"/>
          <w:marTop w:val="0"/>
          <w:marBottom w:val="0"/>
          <w:divBdr>
            <w:top w:val="none" w:sz="0" w:space="0" w:color="auto"/>
            <w:left w:val="none" w:sz="0" w:space="0" w:color="auto"/>
            <w:bottom w:val="none" w:sz="0" w:space="0" w:color="auto"/>
            <w:right w:val="none" w:sz="0" w:space="0" w:color="auto"/>
          </w:divBdr>
        </w:div>
        <w:div w:id="434205507">
          <w:marLeft w:val="0"/>
          <w:marRight w:val="0"/>
          <w:marTop w:val="0"/>
          <w:marBottom w:val="0"/>
          <w:divBdr>
            <w:top w:val="none" w:sz="0" w:space="0" w:color="auto"/>
            <w:left w:val="none" w:sz="0" w:space="0" w:color="auto"/>
            <w:bottom w:val="none" w:sz="0" w:space="0" w:color="auto"/>
            <w:right w:val="none" w:sz="0" w:space="0" w:color="auto"/>
          </w:divBdr>
        </w:div>
        <w:div w:id="529492396">
          <w:marLeft w:val="0"/>
          <w:marRight w:val="0"/>
          <w:marTop w:val="0"/>
          <w:marBottom w:val="0"/>
          <w:divBdr>
            <w:top w:val="none" w:sz="0" w:space="0" w:color="auto"/>
            <w:left w:val="none" w:sz="0" w:space="0" w:color="auto"/>
            <w:bottom w:val="none" w:sz="0" w:space="0" w:color="auto"/>
            <w:right w:val="none" w:sz="0" w:space="0" w:color="auto"/>
          </w:divBdr>
        </w:div>
        <w:div w:id="606815204">
          <w:marLeft w:val="0"/>
          <w:marRight w:val="0"/>
          <w:marTop w:val="0"/>
          <w:marBottom w:val="0"/>
          <w:divBdr>
            <w:top w:val="none" w:sz="0" w:space="0" w:color="auto"/>
            <w:left w:val="none" w:sz="0" w:space="0" w:color="auto"/>
            <w:bottom w:val="none" w:sz="0" w:space="0" w:color="auto"/>
            <w:right w:val="none" w:sz="0" w:space="0" w:color="auto"/>
          </w:divBdr>
        </w:div>
        <w:div w:id="1101802533">
          <w:marLeft w:val="0"/>
          <w:marRight w:val="0"/>
          <w:marTop w:val="0"/>
          <w:marBottom w:val="0"/>
          <w:divBdr>
            <w:top w:val="none" w:sz="0" w:space="0" w:color="auto"/>
            <w:left w:val="none" w:sz="0" w:space="0" w:color="auto"/>
            <w:bottom w:val="none" w:sz="0" w:space="0" w:color="auto"/>
            <w:right w:val="none" w:sz="0" w:space="0" w:color="auto"/>
          </w:divBdr>
        </w:div>
        <w:div w:id="1502549805">
          <w:marLeft w:val="0"/>
          <w:marRight w:val="0"/>
          <w:marTop w:val="0"/>
          <w:marBottom w:val="0"/>
          <w:divBdr>
            <w:top w:val="none" w:sz="0" w:space="0" w:color="auto"/>
            <w:left w:val="none" w:sz="0" w:space="0" w:color="auto"/>
            <w:bottom w:val="none" w:sz="0" w:space="0" w:color="auto"/>
            <w:right w:val="none" w:sz="0" w:space="0" w:color="auto"/>
          </w:divBdr>
        </w:div>
        <w:div w:id="1666013232">
          <w:marLeft w:val="0"/>
          <w:marRight w:val="0"/>
          <w:marTop w:val="0"/>
          <w:marBottom w:val="0"/>
          <w:divBdr>
            <w:top w:val="none" w:sz="0" w:space="0" w:color="auto"/>
            <w:left w:val="none" w:sz="0" w:space="0" w:color="auto"/>
            <w:bottom w:val="none" w:sz="0" w:space="0" w:color="auto"/>
            <w:right w:val="none" w:sz="0" w:space="0" w:color="auto"/>
          </w:divBdr>
        </w:div>
      </w:divsChild>
    </w:div>
    <w:div w:id="726105165">
      <w:bodyDiv w:val="1"/>
      <w:marLeft w:val="0"/>
      <w:marRight w:val="0"/>
      <w:marTop w:val="0"/>
      <w:marBottom w:val="0"/>
      <w:divBdr>
        <w:top w:val="none" w:sz="0" w:space="0" w:color="auto"/>
        <w:left w:val="none" w:sz="0" w:space="0" w:color="auto"/>
        <w:bottom w:val="none" w:sz="0" w:space="0" w:color="auto"/>
        <w:right w:val="none" w:sz="0" w:space="0" w:color="auto"/>
      </w:divBdr>
      <w:divsChild>
        <w:div w:id="659894844">
          <w:marLeft w:val="0"/>
          <w:marRight w:val="0"/>
          <w:marTop w:val="0"/>
          <w:marBottom w:val="0"/>
          <w:divBdr>
            <w:top w:val="none" w:sz="0" w:space="0" w:color="auto"/>
            <w:left w:val="none" w:sz="0" w:space="0" w:color="auto"/>
            <w:bottom w:val="none" w:sz="0" w:space="0" w:color="auto"/>
            <w:right w:val="none" w:sz="0" w:space="0" w:color="auto"/>
          </w:divBdr>
        </w:div>
        <w:div w:id="728505074">
          <w:marLeft w:val="0"/>
          <w:marRight w:val="0"/>
          <w:marTop w:val="0"/>
          <w:marBottom w:val="0"/>
          <w:divBdr>
            <w:top w:val="none" w:sz="0" w:space="0" w:color="auto"/>
            <w:left w:val="none" w:sz="0" w:space="0" w:color="auto"/>
            <w:bottom w:val="none" w:sz="0" w:space="0" w:color="auto"/>
            <w:right w:val="none" w:sz="0" w:space="0" w:color="auto"/>
          </w:divBdr>
        </w:div>
        <w:div w:id="1098018613">
          <w:marLeft w:val="0"/>
          <w:marRight w:val="0"/>
          <w:marTop w:val="0"/>
          <w:marBottom w:val="0"/>
          <w:divBdr>
            <w:top w:val="none" w:sz="0" w:space="0" w:color="auto"/>
            <w:left w:val="none" w:sz="0" w:space="0" w:color="auto"/>
            <w:bottom w:val="none" w:sz="0" w:space="0" w:color="auto"/>
            <w:right w:val="none" w:sz="0" w:space="0" w:color="auto"/>
          </w:divBdr>
        </w:div>
        <w:div w:id="1348750292">
          <w:marLeft w:val="0"/>
          <w:marRight w:val="0"/>
          <w:marTop w:val="0"/>
          <w:marBottom w:val="0"/>
          <w:divBdr>
            <w:top w:val="none" w:sz="0" w:space="0" w:color="auto"/>
            <w:left w:val="none" w:sz="0" w:space="0" w:color="auto"/>
            <w:bottom w:val="none" w:sz="0" w:space="0" w:color="auto"/>
            <w:right w:val="none" w:sz="0" w:space="0" w:color="auto"/>
          </w:divBdr>
        </w:div>
        <w:div w:id="1474443643">
          <w:marLeft w:val="0"/>
          <w:marRight w:val="0"/>
          <w:marTop w:val="0"/>
          <w:marBottom w:val="0"/>
          <w:divBdr>
            <w:top w:val="none" w:sz="0" w:space="0" w:color="auto"/>
            <w:left w:val="none" w:sz="0" w:space="0" w:color="auto"/>
            <w:bottom w:val="none" w:sz="0" w:space="0" w:color="auto"/>
            <w:right w:val="none" w:sz="0" w:space="0" w:color="auto"/>
          </w:divBdr>
        </w:div>
        <w:div w:id="1521047316">
          <w:marLeft w:val="0"/>
          <w:marRight w:val="0"/>
          <w:marTop w:val="0"/>
          <w:marBottom w:val="0"/>
          <w:divBdr>
            <w:top w:val="none" w:sz="0" w:space="0" w:color="auto"/>
            <w:left w:val="none" w:sz="0" w:space="0" w:color="auto"/>
            <w:bottom w:val="none" w:sz="0" w:space="0" w:color="auto"/>
            <w:right w:val="none" w:sz="0" w:space="0" w:color="auto"/>
          </w:divBdr>
        </w:div>
      </w:divsChild>
    </w:div>
    <w:div w:id="1245073245">
      <w:bodyDiv w:val="1"/>
      <w:marLeft w:val="0"/>
      <w:marRight w:val="0"/>
      <w:marTop w:val="0"/>
      <w:marBottom w:val="0"/>
      <w:divBdr>
        <w:top w:val="none" w:sz="0" w:space="0" w:color="auto"/>
        <w:left w:val="none" w:sz="0" w:space="0" w:color="auto"/>
        <w:bottom w:val="none" w:sz="0" w:space="0" w:color="auto"/>
        <w:right w:val="none" w:sz="0" w:space="0" w:color="auto"/>
      </w:divBdr>
      <w:divsChild>
        <w:div w:id="20203950">
          <w:marLeft w:val="0"/>
          <w:marRight w:val="0"/>
          <w:marTop w:val="0"/>
          <w:marBottom w:val="0"/>
          <w:divBdr>
            <w:top w:val="none" w:sz="0" w:space="0" w:color="auto"/>
            <w:left w:val="none" w:sz="0" w:space="0" w:color="auto"/>
            <w:bottom w:val="none" w:sz="0" w:space="0" w:color="auto"/>
            <w:right w:val="none" w:sz="0" w:space="0" w:color="auto"/>
          </w:divBdr>
        </w:div>
        <w:div w:id="55864738">
          <w:marLeft w:val="0"/>
          <w:marRight w:val="0"/>
          <w:marTop w:val="0"/>
          <w:marBottom w:val="0"/>
          <w:divBdr>
            <w:top w:val="none" w:sz="0" w:space="0" w:color="auto"/>
            <w:left w:val="none" w:sz="0" w:space="0" w:color="auto"/>
            <w:bottom w:val="none" w:sz="0" w:space="0" w:color="auto"/>
            <w:right w:val="none" w:sz="0" w:space="0" w:color="auto"/>
          </w:divBdr>
        </w:div>
        <w:div w:id="189228680">
          <w:marLeft w:val="0"/>
          <w:marRight w:val="0"/>
          <w:marTop w:val="0"/>
          <w:marBottom w:val="0"/>
          <w:divBdr>
            <w:top w:val="none" w:sz="0" w:space="0" w:color="auto"/>
            <w:left w:val="none" w:sz="0" w:space="0" w:color="auto"/>
            <w:bottom w:val="none" w:sz="0" w:space="0" w:color="auto"/>
            <w:right w:val="none" w:sz="0" w:space="0" w:color="auto"/>
          </w:divBdr>
        </w:div>
        <w:div w:id="243761067">
          <w:marLeft w:val="0"/>
          <w:marRight w:val="0"/>
          <w:marTop w:val="0"/>
          <w:marBottom w:val="0"/>
          <w:divBdr>
            <w:top w:val="none" w:sz="0" w:space="0" w:color="auto"/>
            <w:left w:val="none" w:sz="0" w:space="0" w:color="auto"/>
            <w:bottom w:val="none" w:sz="0" w:space="0" w:color="auto"/>
            <w:right w:val="none" w:sz="0" w:space="0" w:color="auto"/>
          </w:divBdr>
        </w:div>
        <w:div w:id="593247364">
          <w:marLeft w:val="0"/>
          <w:marRight w:val="0"/>
          <w:marTop w:val="0"/>
          <w:marBottom w:val="0"/>
          <w:divBdr>
            <w:top w:val="none" w:sz="0" w:space="0" w:color="auto"/>
            <w:left w:val="none" w:sz="0" w:space="0" w:color="auto"/>
            <w:bottom w:val="none" w:sz="0" w:space="0" w:color="auto"/>
            <w:right w:val="none" w:sz="0" w:space="0" w:color="auto"/>
          </w:divBdr>
        </w:div>
        <w:div w:id="594242506">
          <w:marLeft w:val="0"/>
          <w:marRight w:val="0"/>
          <w:marTop w:val="0"/>
          <w:marBottom w:val="0"/>
          <w:divBdr>
            <w:top w:val="none" w:sz="0" w:space="0" w:color="auto"/>
            <w:left w:val="none" w:sz="0" w:space="0" w:color="auto"/>
            <w:bottom w:val="none" w:sz="0" w:space="0" w:color="auto"/>
            <w:right w:val="none" w:sz="0" w:space="0" w:color="auto"/>
          </w:divBdr>
        </w:div>
        <w:div w:id="1062562838">
          <w:marLeft w:val="0"/>
          <w:marRight w:val="0"/>
          <w:marTop w:val="0"/>
          <w:marBottom w:val="0"/>
          <w:divBdr>
            <w:top w:val="none" w:sz="0" w:space="0" w:color="auto"/>
            <w:left w:val="none" w:sz="0" w:space="0" w:color="auto"/>
            <w:bottom w:val="none" w:sz="0" w:space="0" w:color="auto"/>
            <w:right w:val="none" w:sz="0" w:space="0" w:color="auto"/>
          </w:divBdr>
        </w:div>
        <w:div w:id="1367172890">
          <w:marLeft w:val="0"/>
          <w:marRight w:val="0"/>
          <w:marTop w:val="0"/>
          <w:marBottom w:val="0"/>
          <w:divBdr>
            <w:top w:val="none" w:sz="0" w:space="0" w:color="auto"/>
            <w:left w:val="none" w:sz="0" w:space="0" w:color="auto"/>
            <w:bottom w:val="none" w:sz="0" w:space="0" w:color="auto"/>
            <w:right w:val="none" w:sz="0" w:space="0" w:color="auto"/>
          </w:divBdr>
        </w:div>
        <w:div w:id="2120221079">
          <w:marLeft w:val="0"/>
          <w:marRight w:val="0"/>
          <w:marTop w:val="0"/>
          <w:marBottom w:val="0"/>
          <w:divBdr>
            <w:top w:val="none" w:sz="0" w:space="0" w:color="auto"/>
            <w:left w:val="none" w:sz="0" w:space="0" w:color="auto"/>
            <w:bottom w:val="none" w:sz="0" w:space="0" w:color="auto"/>
            <w:right w:val="none" w:sz="0" w:space="0" w:color="auto"/>
          </w:divBdr>
        </w:div>
      </w:divsChild>
    </w:div>
    <w:div w:id="1505172535">
      <w:bodyDiv w:val="1"/>
      <w:marLeft w:val="0"/>
      <w:marRight w:val="0"/>
      <w:marTop w:val="0"/>
      <w:marBottom w:val="0"/>
      <w:divBdr>
        <w:top w:val="none" w:sz="0" w:space="0" w:color="auto"/>
        <w:left w:val="none" w:sz="0" w:space="0" w:color="auto"/>
        <w:bottom w:val="none" w:sz="0" w:space="0" w:color="auto"/>
        <w:right w:val="none" w:sz="0" w:space="0" w:color="auto"/>
      </w:divBdr>
      <w:divsChild>
        <w:div w:id="334647732">
          <w:marLeft w:val="0"/>
          <w:marRight w:val="0"/>
          <w:marTop w:val="0"/>
          <w:marBottom w:val="0"/>
          <w:divBdr>
            <w:top w:val="none" w:sz="0" w:space="0" w:color="auto"/>
            <w:left w:val="none" w:sz="0" w:space="0" w:color="auto"/>
            <w:bottom w:val="none" w:sz="0" w:space="0" w:color="auto"/>
            <w:right w:val="none" w:sz="0" w:space="0" w:color="auto"/>
          </w:divBdr>
        </w:div>
        <w:div w:id="629090312">
          <w:marLeft w:val="0"/>
          <w:marRight w:val="0"/>
          <w:marTop w:val="0"/>
          <w:marBottom w:val="0"/>
          <w:divBdr>
            <w:top w:val="none" w:sz="0" w:space="0" w:color="auto"/>
            <w:left w:val="none" w:sz="0" w:space="0" w:color="auto"/>
            <w:bottom w:val="none" w:sz="0" w:space="0" w:color="auto"/>
            <w:right w:val="none" w:sz="0" w:space="0" w:color="auto"/>
          </w:divBdr>
        </w:div>
        <w:div w:id="1156071761">
          <w:marLeft w:val="0"/>
          <w:marRight w:val="0"/>
          <w:marTop w:val="0"/>
          <w:marBottom w:val="0"/>
          <w:divBdr>
            <w:top w:val="none" w:sz="0" w:space="0" w:color="auto"/>
            <w:left w:val="none" w:sz="0" w:space="0" w:color="auto"/>
            <w:bottom w:val="none" w:sz="0" w:space="0" w:color="auto"/>
            <w:right w:val="none" w:sz="0" w:space="0" w:color="auto"/>
          </w:divBdr>
        </w:div>
        <w:div w:id="1178422495">
          <w:marLeft w:val="0"/>
          <w:marRight w:val="0"/>
          <w:marTop w:val="0"/>
          <w:marBottom w:val="0"/>
          <w:divBdr>
            <w:top w:val="none" w:sz="0" w:space="0" w:color="auto"/>
            <w:left w:val="none" w:sz="0" w:space="0" w:color="auto"/>
            <w:bottom w:val="none" w:sz="0" w:space="0" w:color="auto"/>
            <w:right w:val="none" w:sz="0" w:space="0" w:color="auto"/>
          </w:divBdr>
        </w:div>
        <w:div w:id="1221668432">
          <w:marLeft w:val="0"/>
          <w:marRight w:val="0"/>
          <w:marTop w:val="0"/>
          <w:marBottom w:val="0"/>
          <w:divBdr>
            <w:top w:val="none" w:sz="0" w:space="0" w:color="auto"/>
            <w:left w:val="none" w:sz="0" w:space="0" w:color="auto"/>
            <w:bottom w:val="none" w:sz="0" w:space="0" w:color="auto"/>
            <w:right w:val="none" w:sz="0" w:space="0" w:color="auto"/>
          </w:divBdr>
        </w:div>
        <w:div w:id="198292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NL/TXT/PDF/?uri=CELEX:52021XC0218(01)&amp;from=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nderen.be/green-deal-duurzame-zorg/inspiratie/inspiratie-mbt-circulair-aankop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en-business.ec.europa.eu/green-public-procurement/gpp-criteria-and-requirements_en" TargetMode="External"/><Relationship Id="rId5" Type="http://schemas.openxmlformats.org/officeDocument/2006/relationships/numbering" Target="numbering.xml"/><Relationship Id="rId15" Type="http://schemas.openxmlformats.org/officeDocument/2006/relationships/hyperlink" Target="https://www.gidsvoorduurzameaankopen.be/sites/default/files/content/download/files/fi_zonthermischcollector_nl.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mmission/presscorner/detail/en/ip_22_758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E6913B870EE459B1F8A043472B183" ma:contentTypeVersion="17" ma:contentTypeDescription="Een nieuw document maken." ma:contentTypeScope="" ma:versionID="4c530179fbd3b5303cab0a1b435f4306">
  <xsd:schema xmlns:xsd="http://www.w3.org/2001/XMLSchema" xmlns:xs="http://www.w3.org/2001/XMLSchema" xmlns:p="http://schemas.microsoft.com/office/2006/metadata/properties" xmlns:ns2="da59bcab-dc31-4d65-8696-ba653de1c564" xmlns:ns3="c4a02d41-8985-4276-8215-a4db17a367b6" xmlns:ns4="9a9ec0f0-7796-43d0-ac1f-4c8c46ee0bd1" targetNamespace="http://schemas.microsoft.com/office/2006/metadata/properties" ma:root="true" ma:fieldsID="7acafcb497c76d74da1bcf1e0b99fcfb" ns2:_="" ns3:_="" ns4:_="">
    <xsd:import namespace="da59bcab-dc31-4d65-8696-ba653de1c564"/>
    <xsd:import namespace="c4a02d41-8985-4276-8215-a4db17a367b6"/>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9bcab-dc31-4d65-8696-ba653de1c56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a02d41-8985-4276-8215-a4db17a367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051b53b-46af-4651-bcbd-130dcd156f13}" ma:internalName="TaxCatchAll" ma:showField="CatchAllData" ma:web="d6b0519f-151c-4ff4-90e5-3a8f1ccb7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a02d41-8985-4276-8215-a4db17a367b6">
      <Terms xmlns="http://schemas.microsoft.com/office/infopath/2007/PartnerControls"/>
    </lcf76f155ced4ddcb4097134ff3c332f>
    <TaxCatchAll xmlns="9a9ec0f0-7796-43d0-ac1f-4c8c46ee0b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78FB7-CB43-42CC-B824-C9FE1A570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9bcab-dc31-4d65-8696-ba653de1c564"/>
    <ds:schemaRef ds:uri="c4a02d41-8985-4276-8215-a4db17a367b6"/>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0F591-7E60-48A1-A94B-11CDFA0C8C28}">
  <ds:schemaRefs>
    <ds:schemaRef ds:uri="http://schemas.openxmlformats.org/officeDocument/2006/bibliography"/>
  </ds:schemaRefs>
</ds:datastoreItem>
</file>

<file path=customXml/itemProps3.xml><?xml version="1.0" encoding="utf-8"?>
<ds:datastoreItem xmlns:ds="http://schemas.openxmlformats.org/officeDocument/2006/customXml" ds:itemID="{BB189C84-22D8-4178-B11B-617F204C3659}">
  <ds:schemaRefs>
    <ds:schemaRef ds:uri="http://schemas.microsoft.com/office/2006/documentManagement/types"/>
    <ds:schemaRef ds:uri="http://schemas.microsoft.com/office/infopath/2007/PartnerControls"/>
    <ds:schemaRef ds:uri="da59bcab-dc31-4d65-8696-ba653de1c564"/>
    <ds:schemaRef ds:uri="http://purl.org/dc/elements/1.1/"/>
    <ds:schemaRef ds:uri="http://schemas.microsoft.com/office/2006/metadata/properties"/>
    <ds:schemaRef ds:uri="http://schemas.openxmlformats.org/package/2006/metadata/core-properties"/>
    <ds:schemaRef ds:uri="http://purl.org/dc/terms/"/>
    <ds:schemaRef ds:uri="9a9ec0f0-7796-43d0-ac1f-4c8c46ee0bd1"/>
    <ds:schemaRef ds:uri="c4a02d41-8985-4276-8215-a4db17a367b6"/>
    <ds:schemaRef ds:uri="http://www.w3.org/XML/1998/namespace"/>
    <ds:schemaRef ds:uri="http://purl.org/dc/dcmitype/"/>
  </ds:schemaRefs>
</ds:datastoreItem>
</file>

<file path=customXml/itemProps4.xml><?xml version="1.0" encoding="utf-8"?>
<ds:datastoreItem xmlns:ds="http://schemas.openxmlformats.org/officeDocument/2006/customXml" ds:itemID="{7FBA66D7-DB90-4EB7-8044-06B2E8244A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5304</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Dewulf Stephanie</dc:creator>
  <cp:keywords/>
  <dc:description/>
  <cp:lastModifiedBy>Cousaert Christophe</cp:lastModifiedBy>
  <cp:revision>2</cp:revision>
  <cp:lastPrinted>2024-09-03T00:00:00Z</cp:lastPrinted>
  <dcterms:created xsi:type="dcterms:W3CDTF">2024-12-11T15:12:00Z</dcterms:created>
  <dcterms:modified xsi:type="dcterms:W3CDTF">2024-12-11T15:12:00Z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0x010100DB9E6913B870EE459B1F8A043472B183</vt:lpwstr>
  </property>
  <property fmtid="{D5CDD505-2E9C-101B-9397-08002B2CF9AE}" pid="3" name="MediaServiceImageTags">
    <vt:lpwstr/>
  </property>
</Properties>
</file>